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9E05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Uchwała Nr …………</w:t>
      </w:r>
    </w:p>
    <w:p w14:paraId="530CF278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Rady Miejskiej w Szklarskiej Porębie</w:t>
      </w:r>
    </w:p>
    <w:p w14:paraId="32BEB877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z dnia ………… 2026 r.</w:t>
      </w:r>
    </w:p>
    <w:p w14:paraId="59B78306" w14:textId="77777777" w:rsidR="00095348" w:rsidRDefault="00095348" w:rsidP="009E254D">
      <w:pPr>
        <w:spacing w:after="160" w:line="276" w:lineRule="auto"/>
      </w:pPr>
    </w:p>
    <w:p w14:paraId="702A5631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w sprawie rozpatrzenia wniosku Kamila Szymańskiego dotyczącego zmiany uchwały nr XX/217/25 Rady Miejskiej w Szklarskiej Porębie z dnia 23 lipca 2025 r.</w:t>
      </w:r>
    </w:p>
    <w:p w14:paraId="23398DEA" w14:textId="77777777" w:rsidR="00095348" w:rsidRDefault="00095348" w:rsidP="009E254D">
      <w:pPr>
        <w:spacing w:after="160" w:line="276" w:lineRule="auto"/>
      </w:pPr>
    </w:p>
    <w:p w14:paraId="72060413" w14:textId="472DE0BC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sz w:val="26"/>
          <w:szCs w:val="26"/>
        </w:rPr>
        <w:t>Na podstawie art. 18b ust. 1 ustawy z dnia 8 marca 1990 r. o samorządzie gminnym (tj. Dz. U. z 2025 r. poz. 1153) oraz art. 241 i art. 244 § 2 ustawy z dnia 14 czerwca 1960 r. – Kodeks postępowania administracyjnego (</w:t>
      </w:r>
      <w:proofErr w:type="spellStart"/>
      <w:r>
        <w:rPr>
          <w:rFonts w:ascii="Garamond" w:eastAsia="Garamond" w:hAnsi="Garamond" w:cs="Garamond"/>
          <w:sz w:val="26"/>
          <w:szCs w:val="26"/>
        </w:rPr>
        <w:t>t.j</w:t>
      </w:r>
      <w:proofErr w:type="spellEnd"/>
      <w:r>
        <w:rPr>
          <w:rFonts w:ascii="Garamond" w:eastAsia="Garamond" w:hAnsi="Garamond" w:cs="Garamond"/>
          <w:sz w:val="26"/>
          <w:szCs w:val="26"/>
        </w:rPr>
        <w:t>. Dz. U. z 2025 r. poz. 1691), Rada Miejska w Szklarskiej Porębie uchwala, co następuje:</w:t>
      </w:r>
    </w:p>
    <w:p w14:paraId="6BD74456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§ 1</w:t>
      </w:r>
    </w:p>
    <w:p w14:paraId="3C6585C3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sz w:val="26"/>
          <w:szCs w:val="26"/>
        </w:rPr>
        <w:t>Nie uwzględnia się wniosku Kamila Szymańskiego z dnia 21 lutego 2026 r., złożonego na podstawie art. 241 ustawy z dnia 14 czerwca 1960 r. – Kodeks postępowania administracyjnego, dotyczącego podjęcia inicjatywy uchwałodawczej w celu zmiany uchwały nr XX/217/25 Rady Miejskiej w Szklarskiej Porębie z dnia 23 lipca 2025 r. w sprawie ustalenia cen za usługi przewozowe transportu zbiorowego oraz uprawnień do ulg i przejazdów bezpłatnych w środkach komunikacji na terenie Miasta Szklarska Poręba.</w:t>
      </w:r>
    </w:p>
    <w:p w14:paraId="1DC960AF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§ 2</w:t>
      </w:r>
    </w:p>
    <w:p w14:paraId="518EE10E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sz w:val="26"/>
          <w:szCs w:val="26"/>
        </w:rPr>
        <w:t>Wykonanie uchwały powierza się Przewodniczącemu Rady Miejskiej w Szklarskiej Porębie, zobowiązując go do zawiadomienia wnioskodawcy o sposobie rozpatrzenia wniosku.</w:t>
      </w:r>
    </w:p>
    <w:p w14:paraId="715CBADD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§ 3</w:t>
      </w:r>
    </w:p>
    <w:p w14:paraId="0D7995E4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sz w:val="26"/>
          <w:szCs w:val="26"/>
        </w:rPr>
        <w:t>Uchwała wchodzi w życie z dniem podjęcia.</w:t>
      </w:r>
    </w:p>
    <w:p w14:paraId="0C780AFF" w14:textId="77777777" w:rsidR="00095348" w:rsidRDefault="00095348" w:rsidP="009E254D">
      <w:pPr>
        <w:spacing w:after="160" w:line="276" w:lineRule="auto"/>
      </w:pPr>
    </w:p>
    <w:p w14:paraId="698EA774" w14:textId="77777777" w:rsidR="00095348" w:rsidRDefault="00095348" w:rsidP="009E254D">
      <w:pPr>
        <w:spacing w:after="160" w:line="276" w:lineRule="auto"/>
      </w:pPr>
    </w:p>
    <w:p w14:paraId="20BB08ED" w14:textId="77777777" w:rsidR="00095348" w:rsidRDefault="00000000" w:rsidP="009E254D">
      <w:pPr>
        <w:spacing w:after="160" w:line="276" w:lineRule="auto"/>
        <w:jc w:val="center"/>
      </w:pPr>
      <w:r>
        <w:rPr>
          <w:rFonts w:ascii="Garamond" w:eastAsia="Garamond" w:hAnsi="Garamond" w:cs="Garamond"/>
          <w:b/>
          <w:bCs/>
          <w:sz w:val="26"/>
          <w:szCs w:val="26"/>
        </w:rPr>
        <w:t>UZASADNIENIE</w:t>
      </w:r>
    </w:p>
    <w:p w14:paraId="42522DBC" w14:textId="77777777" w:rsidR="00095348" w:rsidRDefault="00095348" w:rsidP="009E254D">
      <w:pPr>
        <w:spacing w:after="160" w:line="276" w:lineRule="auto"/>
      </w:pPr>
    </w:p>
    <w:p w14:paraId="65B163A1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 xml:space="preserve">W dniu 21 lutego 2026 r. do Rady Miejskiej w Szklarskiej Porębie wpłynął wniosek Kamila Szymańskiego, złożony w trybie art. 241 ustawy z dnia 14 czerwca 1960 r. – Kodeks postępowania administracyjnego, dotyczący podjęcia inicjatywy uchwałodawczej zmierzającej do zmiany uchwały nr XX/217/25 Rady Miejskiej w Szklarskiej Porębie z dnia 23 lipca 2025 r. Wnioskodawca zakwestionował dwa elementy uchwały: po pierwsze – odesłanie w § 2 ust. 1 do ustawy z dnia 20 czerwca 1992 r. o uprawnieniach do ulgowych </w:t>
      </w:r>
      <w:r>
        <w:rPr>
          <w:rFonts w:ascii="Garamond" w:eastAsia="Garamond" w:hAnsi="Garamond" w:cs="Garamond"/>
          <w:sz w:val="26"/>
          <w:szCs w:val="26"/>
        </w:rPr>
        <w:lastRenderedPageBreak/>
        <w:t>przejazdów środkami publicznego transportu zbiorowego (dalej: ustawa z 1992 r.), która zgodnie z art. 1 ust. 2 nie ma zastosowania do komunikacji miejskiej; po drugie – brak wyraźnego wyodrębnienia w uchwale ulgi studenckiej wynikającej z art. 105 ust. 1 ustawy z dnia 20 lipca 2018 r. – Prawo o szkolnictwie wyższym i nauce.</w:t>
      </w:r>
    </w:p>
    <w:p w14:paraId="61480BA0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Wniosek został poddany analizie przez Komisję Skarg, Wniosków i Petycji oraz ocenie prawnej. Po przeprowadzeniu tej analizy Rada Miejska w Szklarskiej Porębie uznaje wniosek za niezasadny z następujących powodów.</w:t>
      </w:r>
    </w:p>
    <w:p w14:paraId="23F2E7CC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b/>
          <w:bCs/>
          <w:sz w:val="26"/>
          <w:szCs w:val="26"/>
        </w:rPr>
        <w:t>1. Zarzut dotyczący odesłania do ustawy z 1992 r.</w:t>
      </w:r>
    </w:p>
    <w:p w14:paraId="38B33B73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Wnioskodawca wywodzi, że odesłanie w § 2 ust. 1 uchwały do ustawy z 1992 r. jest wadliwe, ponieważ art. 1 ust. 2 tej ustawy wprost wyklucza jej zastosowanie do komunikacji miejskiej. Zarzut ten jest częściowo trafny w warstwie techniczno-legislacyjnej, lecz nie uzasadnia podjęcia inicjatywy uchwałodawczej.</w:t>
      </w:r>
    </w:p>
    <w:p w14:paraId="4EFC8969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Wyłączenie zawarte w art. 1 ust. 2 ustawy z 1992 r. oznacza jedynie, że ustawa ta nie obowiązuje w komunikacji miejskiej z mocy samego prawa. Nie zakazuje ona natomiast radzie gminy świadomego recypowania zawartego w niej katalogu ulg jako ulg samorządowych ustanowionych w drodze uchwały, o ile z treści uchwały wynika jednoznacznie, że chodzi o uprawnienia gminne, a nie o bezpośrednie stosowanie tej ustawy. Taka konstrukcja prawna mieści się w kompetencjach organu stanowiącego gminy i stanowi co najwyżej nieprecyzyjność redakcyjną, a nie wadę powodującą nieważność uchwały.</w:t>
      </w:r>
    </w:p>
    <w:p w14:paraId="49306ACB" w14:textId="44E7FDBE" w:rsidR="00095348" w:rsidRDefault="009E254D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N</w:t>
      </w:r>
      <w:r w:rsidR="00000000">
        <w:rPr>
          <w:rFonts w:ascii="Garamond" w:eastAsia="Garamond" w:hAnsi="Garamond" w:cs="Garamond"/>
          <w:sz w:val="26"/>
          <w:szCs w:val="26"/>
        </w:rPr>
        <w:t xml:space="preserve">ieważność aktu prawa miejscowego zachodzi wyłącznie w przypadku istotnego naruszenia prawa – w </w:t>
      </w:r>
      <w:proofErr w:type="gramStart"/>
      <w:r w:rsidR="00000000">
        <w:rPr>
          <w:rFonts w:ascii="Garamond" w:eastAsia="Garamond" w:hAnsi="Garamond" w:cs="Garamond"/>
          <w:sz w:val="26"/>
          <w:szCs w:val="26"/>
        </w:rPr>
        <w:t>szczególności</w:t>
      </w:r>
      <w:proofErr w:type="gramEnd"/>
      <w:r w:rsidR="00000000">
        <w:rPr>
          <w:rFonts w:ascii="Garamond" w:eastAsia="Garamond" w:hAnsi="Garamond" w:cs="Garamond"/>
          <w:sz w:val="26"/>
          <w:szCs w:val="26"/>
        </w:rPr>
        <w:t xml:space="preserve"> gdy uchwała przekracza zakres delegacji ustawowej, wprowadza regulację sprzeczną z ustawą lub narusza jej podstawowe elementy. Sama nieprecyzyjność techniki prawodawczej, dająca się usunąć w drodze wykładni, nie wyczerpuje przesłanki istotnego naruszenia prawa.</w:t>
      </w:r>
    </w:p>
    <w:p w14:paraId="32054FAA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b/>
          <w:bCs/>
          <w:sz w:val="26"/>
          <w:szCs w:val="26"/>
        </w:rPr>
        <w:t>2. Zarzut dotyczący braku wyodrębnienia ulgi studenckiej</w:t>
      </w:r>
    </w:p>
    <w:p w14:paraId="10CDFD4F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Wnioskodawca wskazuje, że poprawiona uchwała powinna wyraźnie uwzględniać i wyodrębniać ulgę studencką wynikającą z art. 105 ust. 1 ustawy – Prawo o szkolnictwie wyższym i nauce. Stanowisko to jest błędne.</w:t>
      </w:r>
    </w:p>
    <w:p w14:paraId="497B7D4A" w14:textId="12FE3EF0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 xml:space="preserve">Ulga studencka w wysokości 50% przy przejazdach środkami komunikacji miejskiej wynika bezpośrednio z art. 105 ust. 1 ustawy – Prawo o szkolnictwie wyższym i nauce i obowiązuje z mocy ustawy, niezależnie od treści jakiejkolwiek uchwały rady gminy. Organizator transportu jest zobowiązany ją respektować bez potrzeby powtarzania w akcie prawa miejscowego. Co więcej, zgodnie z zasadami techniki prawodawczej, powtarzanie w akcie prawa miejscowego przepisów rangi ustawowej jest niedopuszczalne i stanowi samo w sobie błąd legislacyjny, mogący prowadzić do rozbieżności interpretacyjnych co do </w:t>
      </w:r>
      <w:r>
        <w:rPr>
          <w:rFonts w:ascii="Garamond" w:eastAsia="Garamond" w:hAnsi="Garamond" w:cs="Garamond"/>
          <w:sz w:val="26"/>
          <w:szCs w:val="26"/>
        </w:rPr>
        <w:lastRenderedPageBreak/>
        <w:t>zakresu uprawnienia. Brak wyodrębnienia ulgi studenckiej w uchwale nie pozbawia zatem studentów przysługującego im ustawowego prawa.</w:t>
      </w:r>
    </w:p>
    <w:p w14:paraId="21826590" w14:textId="77777777" w:rsidR="00095348" w:rsidRDefault="00000000" w:rsidP="009E254D">
      <w:pPr>
        <w:spacing w:after="160" w:line="276" w:lineRule="auto"/>
        <w:jc w:val="both"/>
      </w:pPr>
      <w:r>
        <w:rPr>
          <w:rFonts w:ascii="Garamond" w:eastAsia="Garamond" w:hAnsi="Garamond" w:cs="Garamond"/>
          <w:b/>
          <w:bCs/>
          <w:sz w:val="26"/>
          <w:szCs w:val="26"/>
        </w:rPr>
        <w:t>3. Ocena orzecznictwa powołanego we wniosku</w:t>
      </w:r>
    </w:p>
    <w:p w14:paraId="227F0B73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Na poparcie swojego stanowiska wnioskodawca powołuje się na wyrok Wojewódzkiego Sądu Administracyjnego w Gliwicach z dnia 21 sierpnia 2008 r. (sygn. akt III SA/</w:t>
      </w:r>
      <w:proofErr w:type="spellStart"/>
      <w:r>
        <w:rPr>
          <w:rFonts w:ascii="Garamond" w:eastAsia="Garamond" w:hAnsi="Garamond" w:cs="Garamond"/>
          <w:sz w:val="26"/>
          <w:szCs w:val="26"/>
        </w:rPr>
        <w:t>Gl</w:t>
      </w:r>
      <w:proofErr w:type="spellEnd"/>
      <w:r>
        <w:rPr>
          <w:rFonts w:ascii="Garamond" w:eastAsia="Garamond" w:hAnsi="Garamond" w:cs="Garamond"/>
          <w:sz w:val="26"/>
          <w:szCs w:val="26"/>
        </w:rPr>
        <w:t> 279/08) oraz orzecznictwo Wojewódzkiego Sądu Administracyjnego we Wrocławiu (sygn. akt III SA/</w:t>
      </w:r>
      <w:proofErr w:type="spellStart"/>
      <w:r>
        <w:rPr>
          <w:rFonts w:ascii="Garamond" w:eastAsia="Garamond" w:hAnsi="Garamond" w:cs="Garamond"/>
          <w:sz w:val="26"/>
          <w:szCs w:val="26"/>
        </w:rPr>
        <w:t>Wr</w:t>
      </w:r>
      <w:proofErr w:type="spellEnd"/>
      <w:r>
        <w:rPr>
          <w:rFonts w:ascii="Garamond" w:eastAsia="Garamond" w:hAnsi="Garamond" w:cs="Garamond"/>
          <w:sz w:val="26"/>
          <w:szCs w:val="26"/>
        </w:rPr>
        <w:t> 604/10). Analiza tych orzeczeń prowadzi do wniosku, że żadne z nich nie potwierdza tezy wnioskodawcy.</w:t>
      </w:r>
    </w:p>
    <w:p w14:paraId="40CDEC4F" w14:textId="0E48E73C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 xml:space="preserve">Mając na uwadze powyższe, Rada Miejska w Szklarskiej Porębie uznaje, że zarzuty podniesione we wniosku nie uzasadniają podjęcia inicjatywy uchwałodawczej. Wskazana w uchwale nr XX/217/25 nieprecyzyjność techniczna nie stanowi istotnego naruszenia prawa, zaś orzecznictwo powołane przez wnioskodawcę nie potwierdza formułowanych przez niego </w:t>
      </w:r>
      <w:proofErr w:type="gramStart"/>
      <w:r>
        <w:rPr>
          <w:rFonts w:ascii="Garamond" w:eastAsia="Garamond" w:hAnsi="Garamond" w:cs="Garamond"/>
          <w:sz w:val="26"/>
          <w:szCs w:val="26"/>
        </w:rPr>
        <w:t>tez</w:t>
      </w:r>
      <w:proofErr w:type="gramEnd"/>
      <w:r>
        <w:rPr>
          <w:rFonts w:ascii="Garamond" w:eastAsia="Garamond" w:hAnsi="Garamond" w:cs="Garamond"/>
          <w:sz w:val="26"/>
          <w:szCs w:val="26"/>
        </w:rPr>
        <w:t>. Ulga studencka obowiązuje z mocy ustawy i nie wymaga odrębnego uregulowania w akcie prawa miejscowego.</w:t>
      </w:r>
    </w:p>
    <w:p w14:paraId="36EF6772" w14:textId="77777777" w:rsidR="00095348" w:rsidRDefault="00000000" w:rsidP="009E254D">
      <w:pPr>
        <w:spacing w:after="160" w:line="276" w:lineRule="auto"/>
        <w:ind w:firstLine="708"/>
        <w:jc w:val="both"/>
      </w:pPr>
      <w:r>
        <w:rPr>
          <w:rFonts w:ascii="Garamond" w:eastAsia="Garamond" w:hAnsi="Garamond" w:cs="Garamond"/>
          <w:sz w:val="26"/>
          <w:szCs w:val="26"/>
        </w:rPr>
        <w:t>W związku z powyższym podjęcie uchwały o nieuwzględnieniu wniosku jest uzasadnione.</w:t>
      </w:r>
    </w:p>
    <w:sectPr w:rsidR="00095348">
      <w:pgSz w:w="11909" w:h="1683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6C02"/>
    <w:multiLevelType w:val="hybridMultilevel"/>
    <w:tmpl w:val="B6822D28"/>
    <w:lvl w:ilvl="0" w:tplc="D882786A">
      <w:start w:val="1"/>
      <w:numFmt w:val="bullet"/>
      <w:lvlText w:val="●"/>
      <w:lvlJc w:val="left"/>
      <w:pPr>
        <w:ind w:left="720" w:hanging="360"/>
      </w:pPr>
    </w:lvl>
    <w:lvl w:ilvl="1" w:tplc="EBA6C4C2">
      <w:start w:val="1"/>
      <w:numFmt w:val="bullet"/>
      <w:lvlText w:val="○"/>
      <w:lvlJc w:val="left"/>
      <w:pPr>
        <w:ind w:left="1440" w:hanging="360"/>
      </w:pPr>
    </w:lvl>
    <w:lvl w:ilvl="2" w:tplc="C7D834CA">
      <w:start w:val="1"/>
      <w:numFmt w:val="bullet"/>
      <w:lvlText w:val="■"/>
      <w:lvlJc w:val="left"/>
      <w:pPr>
        <w:ind w:left="2160" w:hanging="360"/>
      </w:pPr>
    </w:lvl>
    <w:lvl w:ilvl="3" w:tplc="828834AA">
      <w:start w:val="1"/>
      <w:numFmt w:val="bullet"/>
      <w:lvlText w:val="●"/>
      <w:lvlJc w:val="left"/>
      <w:pPr>
        <w:ind w:left="2880" w:hanging="360"/>
      </w:pPr>
    </w:lvl>
    <w:lvl w:ilvl="4" w:tplc="AC328540">
      <w:start w:val="1"/>
      <w:numFmt w:val="bullet"/>
      <w:lvlText w:val="○"/>
      <w:lvlJc w:val="left"/>
      <w:pPr>
        <w:ind w:left="3600" w:hanging="360"/>
      </w:pPr>
    </w:lvl>
    <w:lvl w:ilvl="5" w:tplc="56046298">
      <w:start w:val="1"/>
      <w:numFmt w:val="bullet"/>
      <w:lvlText w:val="■"/>
      <w:lvlJc w:val="left"/>
      <w:pPr>
        <w:ind w:left="4320" w:hanging="360"/>
      </w:pPr>
    </w:lvl>
    <w:lvl w:ilvl="6" w:tplc="F5EAD9EE">
      <w:start w:val="1"/>
      <w:numFmt w:val="bullet"/>
      <w:lvlText w:val="●"/>
      <w:lvlJc w:val="left"/>
      <w:pPr>
        <w:ind w:left="5040" w:hanging="360"/>
      </w:pPr>
    </w:lvl>
    <w:lvl w:ilvl="7" w:tplc="00D6887A">
      <w:start w:val="1"/>
      <w:numFmt w:val="bullet"/>
      <w:lvlText w:val="●"/>
      <w:lvlJc w:val="left"/>
      <w:pPr>
        <w:ind w:left="5760" w:hanging="360"/>
      </w:pPr>
    </w:lvl>
    <w:lvl w:ilvl="8" w:tplc="1BB078A0">
      <w:start w:val="1"/>
      <w:numFmt w:val="bullet"/>
      <w:lvlText w:val="●"/>
      <w:lvlJc w:val="left"/>
      <w:pPr>
        <w:ind w:left="6480" w:hanging="360"/>
      </w:pPr>
    </w:lvl>
  </w:abstractNum>
  <w:num w:numId="1" w16cid:durableId="183984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48"/>
    <w:rsid w:val="00095348"/>
    <w:rsid w:val="00877EC2"/>
    <w:rsid w:val="009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3C45"/>
  <w15:docId w15:val="{936F6122-6B47-4927-AB8F-95D9DD9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Kamil Ochenkowski</cp:lastModifiedBy>
  <cp:revision>2</cp:revision>
  <dcterms:created xsi:type="dcterms:W3CDTF">2026-04-13T05:25:00Z</dcterms:created>
  <dcterms:modified xsi:type="dcterms:W3CDTF">2026-04-13T05:25:00Z</dcterms:modified>
</cp:coreProperties>
</file>