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CA7233">
        <w:rPr>
          <w:rFonts w:ascii="Verdana" w:hAnsi="Verdana"/>
          <w:sz w:val="20"/>
          <w:szCs w:val="20"/>
        </w:rPr>
        <w:t>1 Maja</w:t>
      </w:r>
      <w:r>
        <w:rPr>
          <w:rFonts w:ascii="Verdana" w:hAnsi="Verdana"/>
          <w:sz w:val="20"/>
          <w:szCs w:val="20"/>
        </w:rPr>
        <w:t>.</w:t>
      </w:r>
    </w:p>
    <w:p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CA7233">
        <w:rPr>
          <w:rFonts w:ascii="Verdana" w:hAnsi="Verdana"/>
          <w:b/>
          <w:sz w:val="20"/>
          <w:szCs w:val="20"/>
        </w:rPr>
        <w:t>402</w:t>
      </w:r>
      <w:r w:rsidR="001A1C2F">
        <w:rPr>
          <w:rFonts w:ascii="Verdana" w:hAnsi="Verdana"/>
          <w:sz w:val="20"/>
          <w:szCs w:val="20"/>
        </w:rPr>
        <w:t xml:space="preserve"> </w:t>
      </w:r>
      <w:r w:rsidR="00CA7233">
        <w:rPr>
          <w:rFonts w:ascii="Verdana" w:hAnsi="Verdana"/>
          <w:b/>
          <w:sz w:val="20"/>
          <w:szCs w:val="20"/>
        </w:rPr>
        <w:t>obręb 0006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CA7233">
        <w:rPr>
          <w:rFonts w:ascii="Verdana" w:hAnsi="Verdana"/>
          <w:b/>
          <w:sz w:val="20"/>
          <w:szCs w:val="20"/>
        </w:rPr>
        <w:t>60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:rsidR="007A19AA" w:rsidRPr="00AC33FD" w:rsidRDefault="00BB6FB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:rsidR="007A19AA" w:rsidRPr="00AC33FD" w:rsidRDefault="00BB6FB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Kierownik lub osoba upoważniona :</w:t>
            </w:r>
            <w:r w:rsidR="000D3E00">
              <w:rPr>
                <w:rFonts w:ascii="Verdana" w:hAnsi="Verdana"/>
                <w:sz w:val="16"/>
                <w:szCs w:val="16"/>
              </w:rPr>
              <w:t xml:space="preserve"> Piotr </w:t>
            </w:r>
            <w:proofErr w:type="spellStart"/>
            <w:r w:rsidR="000D3E00">
              <w:rPr>
                <w:rFonts w:ascii="Verdana" w:hAnsi="Verdana"/>
                <w:sz w:val="16"/>
                <w:szCs w:val="16"/>
              </w:rPr>
              <w:t>Rubaj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:rsidR="007A19AA" w:rsidRPr="00AC33FD" w:rsidRDefault="00BB6FB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Wojciech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Ćwiąkała</w:t>
            </w:r>
            <w:proofErr w:type="spellEnd"/>
            <w:r w:rsidR="00F0000E">
              <w:rPr>
                <w:rFonts w:ascii="Verdana" w:hAnsi="Verdana"/>
                <w:sz w:val="16"/>
                <w:szCs w:val="16"/>
              </w:rPr>
              <w:t>,</w:t>
            </w:r>
          </w:p>
          <w:p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BB6FB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BB6FB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BB6FB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  <w:tr w:rsidR="007A19AA" w:rsidRPr="00AC33FD" w:rsidTr="00047CC0">
        <w:trPr>
          <w:trHeight w:val="52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:rsidR="007A19AA" w:rsidRPr="00AC33FD" w:rsidRDefault="00BB6FB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</w:tbl>
    <w:p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:rsidR="00BB6FBA" w:rsidRDefault="00BB6FBA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BB6FBA" w:rsidRDefault="00BB6FBA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:rsidR="00354108" w:rsidRDefault="00354108" w:rsidP="00354108">
      <w:pPr>
        <w:rPr>
          <w:rFonts w:ascii="Verdana" w:hAnsi="Verdana" w:cs="Arial"/>
          <w:b/>
        </w:rPr>
      </w:pPr>
    </w:p>
    <w:p w:rsidR="006B342D" w:rsidRPr="00EC6DE8" w:rsidRDefault="007A19AA" w:rsidP="00EC6DE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:rsidR="00030EE6" w:rsidRPr="00030EE6" w:rsidRDefault="00CA7233" w:rsidP="00030EE6">
      <w:pPr>
        <w:spacing w:before="100" w:beforeAutospacing="1" w:after="100" w:afterAutospacing="1"/>
      </w:pPr>
      <w:r>
        <w:rPr>
          <w:rFonts w:ascii="Verdana" w:hAnsi="Verdana" w:cs="Arial"/>
          <w:noProof/>
          <w:sz w:val="20"/>
          <w:szCs w:val="20"/>
        </w:rPr>
        <w:drawing>
          <wp:inline distT="0" distB="0" distL="0" distR="0">
            <wp:extent cx="5534025" cy="4718581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71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BB6FBA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A7233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B559B-9288-4C2B-8E92-D3A7A437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9</cp:revision>
  <cp:lastPrinted>2025-11-17T09:28:00Z</cp:lastPrinted>
  <dcterms:created xsi:type="dcterms:W3CDTF">2025-02-17T08:57:00Z</dcterms:created>
  <dcterms:modified xsi:type="dcterms:W3CDTF">2025-11-19T09:55:00Z</dcterms:modified>
</cp:coreProperties>
</file>