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863EF" w14:textId="552E3666" w:rsidR="00EB578F" w:rsidRDefault="00EB578F" w:rsidP="00B24445">
      <w:pPr>
        <w:jc w:val="center"/>
        <w:rPr>
          <w:rFonts w:ascii="Verdana" w:hAnsi="Verdana"/>
          <w:b/>
          <w:sz w:val="20"/>
          <w:szCs w:val="20"/>
        </w:rPr>
      </w:pPr>
      <w:r>
        <w:rPr>
          <w:rFonts w:ascii="Verdana" w:hAnsi="Verdana"/>
          <w:b/>
          <w:sz w:val="20"/>
          <w:szCs w:val="20"/>
        </w:rPr>
        <w:t xml:space="preserve">Projekt </w:t>
      </w:r>
    </w:p>
    <w:p w14:paraId="73FF59FC" w14:textId="3B42E502" w:rsidR="00B24445" w:rsidRPr="005138EB" w:rsidRDefault="00B24445" w:rsidP="00B24445">
      <w:pPr>
        <w:jc w:val="center"/>
        <w:rPr>
          <w:rFonts w:ascii="Verdana" w:hAnsi="Verdana"/>
          <w:b/>
          <w:sz w:val="20"/>
          <w:szCs w:val="20"/>
        </w:rPr>
      </w:pPr>
      <w:r w:rsidRPr="005138EB">
        <w:rPr>
          <w:rFonts w:ascii="Verdana" w:hAnsi="Verdana"/>
          <w:b/>
          <w:sz w:val="20"/>
          <w:szCs w:val="20"/>
        </w:rPr>
        <w:t>Uchwała N</w:t>
      </w:r>
      <w:r>
        <w:rPr>
          <w:rFonts w:ascii="Verdana" w:hAnsi="Verdana"/>
          <w:b/>
          <w:sz w:val="20"/>
          <w:szCs w:val="20"/>
        </w:rPr>
        <w:t>r</w:t>
      </w:r>
      <w:r w:rsidRPr="005138EB">
        <w:rPr>
          <w:rFonts w:ascii="Verdana" w:hAnsi="Verdana"/>
          <w:b/>
          <w:sz w:val="20"/>
          <w:szCs w:val="20"/>
        </w:rPr>
        <w:t xml:space="preserve"> </w:t>
      </w:r>
      <w:r>
        <w:rPr>
          <w:rFonts w:ascii="Verdana" w:hAnsi="Verdana"/>
          <w:b/>
          <w:sz w:val="20"/>
          <w:szCs w:val="20"/>
        </w:rPr>
        <w:t>………</w:t>
      </w:r>
    </w:p>
    <w:p w14:paraId="262C0EDC" w14:textId="77777777" w:rsidR="00B24445" w:rsidRPr="005138EB" w:rsidRDefault="00B24445" w:rsidP="00B24445">
      <w:pPr>
        <w:jc w:val="center"/>
        <w:rPr>
          <w:rFonts w:ascii="Verdana" w:hAnsi="Verdana"/>
          <w:b/>
          <w:sz w:val="20"/>
          <w:szCs w:val="20"/>
        </w:rPr>
      </w:pPr>
      <w:r w:rsidRPr="005138EB">
        <w:rPr>
          <w:rFonts w:ascii="Verdana" w:hAnsi="Verdana"/>
          <w:b/>
          <w:sz w:val="20"/>
          <w:szCs w:val="20"/>
        </w:rPr>
        <w:t>Rady Miejskiej w Szklarskiej Porębie</w:t>
      </w:r>
    </w:p>
    <w:p w14:paraId="37AE01EE" w14:textId="084BD3DE" w:rsidR="00B24445" w:rsidRDefault="00B24445" w:rsidP="00EB578F">
      <w:pPr>
        <w:jc w:val="center"/>
        <w:rPr>
          <w:rFonts w:ascii="Verdana" w:hAnsi="Verdana"/>
          <w:b/>
          <w:sz w:val="20"/>
          <w:szCs w:val="20"/>
        </w:rPr>
      </w:pPr>
      <w:r w:rsidRPr="005138EB">
        <w:rPr>
          <w:rFonts w:ascii="Verdana" w:hAnsi="Verdana"/>
          <w:b/>
          <w:sz w:val="20"/>
          <w:szCs w:val="20"/>
        </w:rPr>
        <w:t xml:space="preserve">z dnia </w:t>
      </w:r>
      <w:r>
        <w:rPr>
          <w:rFonts w:ascii="Verdana" w:hAnsi="Verdana"/>
          <w:b/>
          <w:sz w:val="20"/>
          <w:szCs w:val="20"/>
        </w:rPr>
        <w:t>…………………. 2025 r.</w:t>
      </w:r>
    </w:p>
    <w:p w14:paraId="298CC67B" w14:textId="10CFA078" w:rsidR="00B24445" w:rsidRDefault="00B24445" w:rsidP="00EB578F">
      <w:pPr>
        <w:jc w:val="center"/>
        <w:rPr>
          <w:rFonts w:ascii="Verdana" w:hAnsi="Verdana"/>
          <w:b/>
          <w:sz w:val="20"/>
          <w:szCs w:val="20"/>
        </w:rPr>
      </w:pPr>
      <w:r w:rsidRPr="005138EB">
        <w:rPr>
          <w:rFonts w:ascii="Verdana" w:hAnsi="Verdana"/>
          <w:b/>
          <w:sz w:val="20"/>
          <w:szCs w:val="20"/>
        </w:rPr>
        <w:t xml:space="preserve">w sprawie </w:t>
      </w:r>
      <w:r>
        <w:rPr>
          <w:rFonts w:ascii="Verdana" w:hAnsi="Verdana"/>
          <w:b/>
          <w:sz w:val="20"/>
          <w:szCs w:val="20"/>
        </w:rPr>
        <w:t>rozpatrzenia petycji</w:t>
      </w:r>
    </w:p>
    <w:p w14:paraId="2C739C73" w14:textId="77777777" w:rsidR="005C70F2" w:rsidRPr="005138EB" w:rsidRDefault="005C70F2" w:rsidP="00EB578F">
      <w:pPr>
        <w:jc w:val="center"/>
        <w:rPr>
          <w:rFonts w:ascii="Verdana" w:hAnsi="Verdana"/>
          <w:b/>
          <w:sz w:val="20"/>
          <w:szCs w:val="20"/>
        </w:rPr>
      </w:pPr>
    </w:p>
    <w:p w14:paraId="095D1CAE" w14:textId="31AF564B" w:rsidR="00243CC7" w:rsidRPr="00476294" w:rsidRDefault="00B24445" w:rsidP="00243CC7">
      <w:pPr>
        <w:spacing w:line="360" w:lineRule="auto"/>
        <w:jc w:val="both"/>
        <w:rPr>
          <w:rFonts w:ascii="Verdana" w:hAnsi="Verdana"/>
          <w:sz w:val="20"/>
          <w:szCs w:val="20"/>
        </w:rPr>
      </w:pPr>
      <w:r>
        <w:tab/>
      </w:r>
      <w:r w:rsidR="00243CC7" w:rsidRPr="00E27B45">
        <w:rPr>
          <w:rFonts w:ascii="Verdana" w:hAnsi="Verdana"/>
          <w:sz w:val="20"/>
          <w:szCs w:val="20"/>
        </w:rPr>
        <w:t xml:space="preserve">Na podstawie art. </w:t>
      </w:r>
      <w:r w:rsidR="00243CC7">
        <w:rPr>
          <w:rFonts w:ascii="Verdana" w:hAnsi="Verdana"/>
          <w:sz w:val="20"/>
          <w:szCs w:val="20"/>
        </w:rPr>
        <w:t>1</w:t>
      </w:r>
      <w:r w:rsidR="00243CC7" w:rsidRPr="00E27B45">
        <w:rPr>
          <w:rFonts w:ascii="Verdana" w:hAnsi="Verdana"/>
          <w:sz w:val="20"/>
          <w:szCs w:val="20"/>
        </w:rPr>
        <w:t>8 ust.2 pkt 15 oraz art.</w:t>
      </w:r>
      <w:r w:rsidR="00243CC7">
        <w:rPr>
          <w:rFonts w:ascii="Verdana" w:hAnsi="Verdana"/>
          <w:sz w:val="20"/>
          <w:szCs w:val="20"/>
        </w:rPr>
        <w:t>1</w:t>
      </w:r>
      <w:r w:rsidR="00243CC7" w:rsidRPr="00E27B45">
        <w:rPr>
          <w:rFonts w:ascii="Verdana" w:hAnsi="Verdana"/>
          <w:sz w:val="20"/>
          <w:szCs w:val="20"/>
        </w:rPr>
        <w:t xml:space="preserve">8b ust 1 ustawy z dnia 8 marca 1990 roku o samorządzie gminnym </w:t>
      </w:r>
      <w:r w:rsidR="00243CC7" w:rsidRPr="00DD50EF">
        <w:rPr>
          <w:rFonts w:ascii="Verdana" w:hAnsi="Verdana"/>
          <w:sz w:val="20"/>
          <w:szCs w:val="20"/>
        </w:rPr>
        <w:t>(</w:t>
      </w:r>
      <w:r w:rsidR="00B2582E" w:rsidRPr="00DD50EF">
        <w:rPr>
          <w:rFonts w:ascii="Verdana" w:hAnsi="Verdana"/>
          <w:sz w:val="20"/>
          <w:szCs w:val="20"/>
        </w:rPr>
        <w:t>tj.</w:t>
      </w:r>
      <w:r w:rsidR="00243CC7" w:rsidRPr="00DD50EF">
        <w:rPr>
          <w:rFonts w:ascii="Verdana" w:hAnsi="Verdana"/>
          <w:sz w:val="20"/>
          <w:szCs w:val="20"/>
        </w:rPr>
        <w:t xml:space="preserve"> Dz. U. z 2025 r. poz. 1153</w:t>
      </w:r>
      <w:r w:rsidR="00243CC7">
        <w:rPr>
          <w:rFonts w:ascii="Verdana" w:hAnsi="Verdana"/>
          <w:sz w:val="20"/>
          <w:szCs w:val="20"/>
        </w:rPr>
        <w:t>)</w:t>
      </w:r>
      <w:r w:rsidR="00243CC7" w:rsidRPr="00E27B45">
        <w:rPr>
          <w:rFonts w:ascii="Verdana" w:hAnsi="Verdana"/>
          <w:sz w:val="20"/>
          <w:szCs w:val="20"/>
        </w:rPr>
        <w:t xml:space="preserve"> oraz </w:t>
      </w:r>
      <w:r w:rsidR="00243CC7">
        <w:rPr>
          <w:rFonts w:ascii="Verdana" w:hAnsi="Verdana"/>
          <w:sz w:val="20"/>
          <w:szCs w:val="20"/>
        </w:rPr>
        <w:t xml:space="preserve">art. </w:t>
      </w:r>
      <w:r w:rsidR="00243CC7" w:rsidRPr="00E27B45">
        <w:rPr>
          <w:rFonts w:ascii="Verdana" w:hAnsi="Verdana"/>
          <w:sz w:val="20"/>
          <w:szCs w:val="20"/>
        </w:rPr>
        <w:t>6</w:t>
      </w:r>
      <w:r w:rsidR="00243CC7">
        <w:rPr>
          <w:rFonts w:ascii="Verdana" w:hAnsi="Verdana"/>
          <w:sz w:val="20"/>
          <w:szCs w:val="20"/>
        </w:rPr>
        <w:t xml:space="preserve"> </w:t>
      </w:r>
      <w:r w:rsidR="00243CC7" w:rsidRPr="00E27B45">
        <w:rPr>
          <w:rFonts w:ascii="Verdana" w:hAnsi="Verdana"/>
          <w:sz w:val="20"/>
          <w:szCs w:val="20"/>
        </w:rPr>
        <w:t xml:space="preserve">ust. </w:t>
      </w:r>
      <w:r w:rsidR="00243CC7">
        <w:rPr>
          <w:rFonts w:ascii="Verdana" w:hAnsi="Verdana"/>
          <w:sz w:val="20"/>
          <w:szCs w:val="20"/>
        </w:rPr>
        <w:t xml:space="preserve">2 </w:t>
      </w:r>
      <w:r w:rsidR="00243CC7" w:rsidRPr="00E27B45">
        <w:rPr>
          <w:rFonts w:ascii="Verdana" w:hAnsi="Verdana"/>
          <w:sz w:val="20"/>
          <w:szCs w:val="20"/>
        </w:rPr>
        <w:t xml:space="preserve">ustawy </w:t>
      </w:r>
      <w:r w:rsidR="00243CC7">
        <w:rPr>
          <w:rFonts w:ascii="Verdana" w:hAnsi="Verdana"/>
          <w:sz w:val="20"/>
          <w:szCs w:val="20"/>
        </w:rPr>
        <w:br/>
      </w:r>
      <w:r w:rsidR="00243CC7" w:rsidRPr="00E27B45">
        <w:rPr>
          <w:rFonts w:ascii="Verdana" w:hAnsi="Verdana"/>
          <w:sz w:val="20"/>
          <w:szCs w:val="20"/>
        </w:rPr>
        <w:t>z</w:t>
      </w:r>
      <w:r w:rsidR="00243CC7">
        <w:rPr>
          <w:rFonts w:ascii="Verdana" w:hAnsi="Verdana"/>
          <w:sz w:val="20"/>
          <w:szCs w:val="20"/>
        </w:rPr>
        <w:t xml:space="preserve"> </w:t>
      </w:r>
      <w:r w:rsidR="00243CC7" w:rsidRPr="00E27B45">
        <w:rPr>
          <w:rFonts w:ascii="Verdana" w:hAnsi="Verdana"/>
          <w:sz w:val="20"/>
          <w:szCs w:val="20"/>
        </w:rPr>
        <w:t xml:space="preserve">dnia </w:t>
      </w:r>
      <w:r w:rsidR="00243CC7">
        <w:rPr>
          <w:rFonts w:ascii="Verdana" w:hAnsi="Verdana"/>
          <w:sz w:val="20"/>
          <w:szCs w:val="20"/>
        </w:rPr>
        <w:t>11</w:t>
      </w:r>
      <w:r w:rsidR="00243CC7" w:rsidRPr="00E27B45">
        <w:rPr>
          <w:rFonts w:ascii="Verdana" w:hAnsi="Verdana"/>
          <w:sz w:val="20"/>
          <w:szCs w:val="20"/>
        </w:rPr>
        <w:t xml:space="preserve"> </w:t>
      </w:r>
      <w:r w:rsidR="00243CC7">
        <w:rPr>
          <w:rFonts w:ascii="Verdana" w:hAnsi="Verdana"/>
          <w:sz w:val="20"/>
          <w:szCs w:val="20"/>
        </w:rPr>
        <w:t xml:space="preserve">lipca 2014 r. o petycjach (tj. </w:t>
      </w:r>
      <w:r w:rsidR="00243CC7" w:rsidRPr="00E27B45">
        <w:rPr>
          <w:rFonts w:ascii="Verdana" w:hAnsi="Verdana"/>
          <w:sz w:val="20"/>
          <w:szCs w:val="20"/>
        </w:rPr>
        <w:t>Dz.</w:t>
      </w:r>
      <w:r w:rsidR="00243CC7">
        <w:rPr>
          <w:rFonts w:ascii="Verdana" w:hAnsi="Verdana"/>
          <w:sz w:val="20"/>
          <w:szCs w:val="20"/>
        </w:rPr>
        <w:t xml:space="preserve"> U. z 2018 r., </w:t>
      </w:r>
      <w:r w:rsidR="00243CC7" w:rsidRPr="00E27B45">
        <w:rPr>
          <w:rFonts w:ascii="Verdana" w:hAnsi="Verdana"/>
          <w:sz w:val="20"/>
          <w:szCs w:val="20"/>
        </w:rPr>
        <w:t>poz.</w:t>
      </w:r>
      <w:r w:rsidR="00243CC7">
        <w:rPr>
          <w:rFonts w:ascii="Verdana" w:hAnsi="Verdana"/>
          <w:sz w:val="20"/>
          <w:szCs w:val="20"/>
        </w:rPr>
        <w:t xml:space="preserve"> </w:t>
      </w:r>
      <w:r w:rsidR="00243CC7" w:rsidRPr="00E27B45">
        <w:rPr>
          <w:rFonts w:ascii="Verdana" w:hAnsi="Verdana"/>
          <w:sz w:val="20"/>
          <w:szCs w:val="20"/>
        </w:rPr>
        <w:t>870) Rada Miejska w S</w:t>
      </w:r>
      <w:r w:rsidR="00243CC7">
        <w:rPr>
          <w:rFonts w:ascii="Verdana" w:hAnsi="Verdana"/>
          <w:sz w:val="20"/>
          <w:szCs w:val="20"/>
        </w:rPr>
        <w:t>zklarskiej Porębie</w:t>
      </w:r>
      <w:r w:rsidR="00243CC7" w:rsidRPr="00E27B45">
        <w:rPr>
          <w:rFonts w:ascii="Verdana" w:hAnsi="Verdana"/>
          <w:sz w:val="20"/>
          <w:szCs w:val="20"/>
        </w:rPr>
        <w:t>:</w:t>
      </w:r>
    </w:p>
    <w:p w14:paraId="27685F8B" w14:textId="0762D8AF" w:rsidR="00B24445" w:rsidRDefault="00B24445" w:rsidP="005C70F2">
      <w:pPr>
        <w:pStyle w:val="Akapitzlist"/>
        <w:spacing w:line="360" w:lineRule="auto"/>
        <w:ind w:left="0"/>
        <w:jc w:val="both"/>
        <w:rPr>
          <w:rFonts w:ascii="Verdana" w:hAnsi="Verdana"/>
          <w:sz w:val="20"/>
          <w:szCs w:val="20"/>
        </w:rPr>
      </w:pPr>
      <w:r w:rsidRPr="00B2582E">
        <w:rPr>
          <w:rFonts w:ascii="Verdana" w:hAnsi="Verdana"/>
          <w:bCs/>
          <w:sz w:val="20"/>
          <w:szCs w:val="20"/>
        </w:rPr>
        <w:t>§ 1</w:t>
      </w:r>
      <w:r w:rsidRPr="005C70F2">
        <w:rPr>
          <w:rFonts w:ascii="Verdana" w:hAnsi="Verdana"/>
          <w:bCs/>
          <w:sz w:val="20"/>
          <w:szCs w:val="20"/>
        </w:rPr>
        <w:t>.</w:t>
      </w:r>
      <w:r w:rsidR="00B2582E" w:rsidRPr="005C70F2">
        <w:rPr>
          <w:rFonts w:ascii="Verdana" w:hAnsi="Verdana"/>
          <w:bCs/>
          <w:sz w:val="20"/>
          <w:szCs w:val="20"/>
        </w:rPr>
        <w:t xml:space="preserve"> </w:t>
      </w:r>
      <w:r w:rsidRPr="005C70F2">
        <w:rPr>
          <w:rFonts w:ascii="Verdana" w:hAnsi="Verdana"/>
          <w:bCs/>
          <w:sz w:val="20"/>
          <w:szCs w:val="20"/>
        </w:rPr>
        <w:t xml:space="preserve">Po zapoznaniu się z treścią petycji złożonej </w:t>
      </w:r>
      <w:r w:rsidR="005C70F2" w:rsidRPr="005C70F2">
        <w:rPr>
          <w:rFonts w:ascii="Verdana" w:hAnsi="Verdana"/>
          <w:bCs/>
          <w:sz w:val="20"/>
          <w:szCs w:val="20"/>
        </w:rPr>
        <w:t xml:space="preserve">przez </w:t>
      </w:r>
      <w:r w:rsidR="005C70F2" w:rsidRPr="005C70F2">
        <w:rPr>
          <w:rFonts w:ascii="Verdana" w:hAnsi="Verdana"/>
          <w:sz w:val="20"/>
          <w:szCs w:val="20"/>
        </w:rPr>
        <w:t xml:space="preserve">mieszkańców Szklarskiej Poręby </w:t>
      </w:r>
      <w:r w:rsidR="005C70F2">
        <w:rPr>
          <w:rFonts w:ascii="Verdana" w:hAnsi="Verdana"/>
          <w:sz w:val="20"/>
          <w:szCs w:val="20"/>
        </w:rPr>
        <w:t>w sprawie</w:t>
      </w:r>
      <w:r w:rsidR="005C70F2" w:rsidRPr="005C70F2">
        <w:rPr>
          <w:rFonts w:ascii="Verdana" w:hAnsi="Verdana"/>
          <w:sz w:val="20"/>
          <w:szCs w:val="20"/>
        </w:rPr>
        <w:t xml:space="preserve"> funkcjonowania zakładu wydobywczego </w:t>
      </w:r>
      <w:proofErr w:type="spellStart"/>
      <w:r w:rsidR="005C70F2" w:rsidRPr="005C70F2">
        <w:rPr>
          <w:rFonts w:ascii="Verdana" w:hAnsi="Verdana"/>
          <w:sz w:val="20"/>
          <w:szCs w:val="20"/>
        </w:rPr>
        <w:t>Izer</w:t>
      </w:r>
      <w:proofErr w:type="spellEnd"/>
      <w:r w:rsidR="005C70F2" w:rsidRPr="005C70F2">
        <w:rPr>
          <w:rFonts w:ascii="Verdana" w:hAnsi="Verdana"/>
          <w:sz w:val="20"/>
          <w:szCs w:val="20"/>
        </w:rPr>
        <w:t xml:space="preserve"> Granit zlokalizowanego w rejonie Szklarskiej Poręby Huty (działka nr 297/1, obręb 8) </w:t>
      </w:r>
      <w:r w:rsidR="005C70F2">
        <w:rPr>
          <w:rFonts w:ascii="Verdana" w:hAnsi="Verdana"/>
          <w:sz w:val="20"/>
          <w:szCs w:val="20"/>
        </w:rPr>
        <w:t xml:space="preserve">w szczególności </w:t>
      </w:r>
      <w:r w:rsidR="005C70F2" w:rsidRPr="005C70F2">
        <w:rPr>
          <w:rFonts w:ascii="Verdana" w:hAnsi="Verdana"/>
          <w:sz w:val="20"/>
          <w:szCs w:val="20"/>
        </w:rPr>
        <w:t>w obszarze przestrzegania prawa</w:t>
      </w:r>
      <w:r w:rsidR="005C70F2">
        <w:rPr>
          <w:rFonts w:ascii="Verdana" w:hAnsi="Verdana"/>
          <w:sz w:val="20"/>
          <w:szCs w:val="20"/>
        </w:rPr>
        <w:t xml:space="preserve">, </w:t>
      </w:r>
      <w:r w:rsidR="009F405A">
        <w:rPr>
          <w:rFonts w:ascii="Verdana" w:hAnsi="Verdana"/>
          <w:sz w:val="20"/>
          <w:szCs w:val="20"/>
        </w:rPr>
        <w:t>k</w:t>
      </w:r>
      <w:r w:rsidR="005C70F2" w:rsidRPr="005C70F2">
        <w:rPr>
          <w:rFonts w:ascii="Verdana" w:hAnsi="Verdana"/>
          <w:sz w:val="20"/>
          <w:szCs w:val="20"/>
        </w:rPr>
        <w:t>ontroli uciążliwości dla mieszkańców</w:t>
      </w:r>
      <w:r w:rsidR="009F405A">
        <w:rPr>
          <w:rFonts w:ascii="Verdana" w:hAnsi="Verdana"/>
          <w:sz w:val="20"/>
          <w:szCs w:val="20"/>
        </w:rPr>
        <w:t xml:space="preserve"> oraz</w:t>
      </w:r>
      <w:r w:rsidR="005C70F2">
        <w:rPr>
          <w:rFonts w:ascii="Verdana" w:hAnsi="Verdana"/>
          <w:sz w:val="20"/>
          <w:szCs w:val="20"/>
        </w:rPr>
        <w:t xml:space="preserve"> w</w:t>
      </w:r>
      <w:r w:rsidR="005C70F2" w:rsidRPr="005C70F2">
        <w:rPr>
          <w:rFonts w:ascii="Verdana" w:hAnsi="Verdana"/>
          <w:sz w:val="20"/>
          <w:szCs w:val="20"/>
        </w:rPr>
        <w:t>arunków dzierżawy terenu miejskiego</w:t>
      </w:r>
      <w:r w:rsidR="005C70F2">
        <w:rPr>
          <w:rFonts w:ascii="Verdana" w:hAnsi="Verdana"/>
          <w:sz w:val="20"/>
          <w:szCs w:val="20"/>
        </w:rPr>
        <w:t xml:space="preserve"> </w:t>
      </w:r>
      <w:r w:rsidR="005C70F2" w:rsidRPr="005C70F2">
        <w:rPr>
          <w:rFonts w:ascii="Verdana" w:hAnsi="Verdana"/>
          <w:sz w:val="20"/>
          <w:szCs w:val="20"/>
        </w:rPr>
        <w:t>uznaje się petycję za zasadną z przyczyn określonych w uzasadnieniu stanowiącym załącznik do uchwały.</w:t>
      </w:r>
    </w:p>
    <w:p w14:paraId="0E338821" w14:textId="77777777" w:rsidR="005C70F2" w:rsidRPr="005C70F2" w:rsidRDefault="005C70F2" w:rsidP="005C70F2">
      <w:pPr>
        <w:pStyle w:val="Akapitzlist"/>
        <w:spacing w:line="360" w:lineRule="auto"/>
        <w:ind w:left="0"/>
        <w:jc w:val="both"/>
        <w:rPr>
          <w:rFonts w:ascii="Verdana" w:hAnsi="Verdana"/>
          <w:sz w:val="20"/>
          <w:szCs w:val="20"/>
        </w:rPr>
      </w:pPr>
    </w:p>
    <w:p w14:paraId="51A7E472" w14:textId="1F763CD2" w:rsidR="00B24445" w:rsidRPr="00E27B45" w:rsidRDefault="00B24445" w:rsidP="00B2582E">
      <w:pPr>
        <w:pStyle w:val="Akapitzlist"/>
        <w:spacing w:line="360" w:lineRule="auto"/>
        <w:ind w:left="0"/>
        <w:jc w:val="both"/>
        <w:rPr>
          <w:rFonts w:ascii="Verdana" w:hAnsi="Verdana"/>
          <w:sz w:val="20"/>
          <w:szCs w:val="20"/>
        </w:rPr>
      </w:pPr>
      <w:r w:rsidRPr="00E27B45">
        <w:rPr>
          <w:rFonts w:ascii="Verdana" w:hAnsi="Verdana"/>
          <w:sz w:val="20"/>
          <w:szCs w:val="20"/>
        </w:rPr>
        <w:t>§ 2.</w:t>
      </w:r>
      <w:r w:rsidR="00B2582E">
        <w:rPr>
          <w:rFonts w:ascii="Verdana" w:hAnsi="Verdana"/>
          <w:sz w:val="20"/>
          <w:szCs w:val="20"/>
        </w:rPr>
        <w:t xml:space="preserve"> </w:t>
      </w:r>
      <w:r w:rsidRPr="00E27B45">
        <w:rPr>
          <w:rFonts w:ascii="Verdana" w:hAnsi="Verdana"/>
          <w:sz w:val="20"/>
          <w:szCs w:val="20"/>
        </w:rPr>
        <w:t xml:space="preserve">Zobowiązuje się Przewodniczącego Rady do powiadomienia składającego petycję o sposobie załatwienia petycji poprzez przesłanie odpisu uchwały wraz z uzasadnieniem. </w:t>
      </w:r>
    </w:p>
    <w:p w14:paraId="30F3C294" w14:textId="77777777" w:rsidR="00B24445" w:rsidRDefault="00B24445" w:rsidP="00B2582E">
      <w:pPr>
        <w:pStyle w:val="Akapitzlist"/>
        <w:spacing w:line="360" w:lineRule="auto"/>
        <w:ind w:left="0"/>
        <w:jc w:val="both"/>
        <w:rPr>
          <w:rFonts w:ascii="Verdana" w:hAnsi="Verdana"/>
          <w:sz w:val="20"/>
          <w:szCs w:val="20"/>
        </w:rPr>
      </w:pPr>
    </w:p>
    <w:p w14:paraId="4E651EE4" w14:textId="4C3A1A8B" w:rsidR="00B24445" w:rsidRDefault="00B24445" w:rsidP="00B2582E">
      <w:pPr>
        <w:pStyle w:val="Akapitzlist"/>
        <w:spacing w:line="360" w:lineRule="auto"/>
        <w:ind w:left="0"/>
        <w:jc w:val="both"/>
        <w:rPr>
          <w:rFonts w:ascii="Verdana" w:hAnsi="Verdana"/>
          <w:sz w:val="20"/>
          <w:szCs w:val="20"/>
        </w:rPr>
      </w:pPr>
      <w:r w:rsidRPr="00E27B45">
        <w:rPr>
          <w:rFonts w:ascii="Verdana" w:hAnsi="Verdana"/>
          <w:sz w:val="20"/>
          <w:szCs w:val="20"/>
        </w:rPr>
        <w:t>§ 3.</w:t>
      </w:r>
      <w:r w:rsidR="00B2582E">
        <w:rPr>
          <w:rFonts w:ascii="Verdana" w:hAnsi="Verdana"/>
          <w:sz w:val="20"/>
          <w:szCs w:val="20"/>
        </w:rPr>
        <w:t xml:space="preserve"> </w:t>
      </w:r>
      <w:r w:rsidRPr="00E27B45">
        <w:rPr>
          <w:rFonts w:ascii="Verdana" w:hAnsi="Verdana"/>
          <w:sz w:val="20"/>
          <w:szCs w:val="20"/>
        </w:rPr>
        <w:t xml:space="preserve"> Uchwała wchodzi w </w:t>
      </w:r>
      <w:r>
        <w:rPr>
          <w:rFonts w:ascii="Verdana" w:hAnsi="Verdana"/>
          <w:sz w:val="20"/>
          <w:szCs w:val="20"/>
        </w:rPr>
        <w:t>życie</w:t>
      </w:r>
      <w:r w:rsidRPr="00E27B45">
        <w:rPr>
          <w:rFonts w:ascii="Verdana" w:hAnsi="Verdana"/>
          <w:sz w:val="20"/>
          <w:szCs w:val="20"/>
        </w:rPr>
        <w:t xml:space="preserve"> z dniem podjęcia.</w:t>
      </w:r>
    </w:p>
    <w:p w14:paraId="185F020C" w14:textId="77777777" w:rsidR="00154F9A" w:rsidRDefault="00154F9A" w:rsidP="00154F9A">
      <w:pPr>
        <w:pStyle w:val="Default"/>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3"/>
        <w:gridCol w:w="2552"/>
        <w:gridCol w:w="1351"/>
      </w:tblGrid>
      <w:tr w:rsidR="009F405A" w:rsidRPr="00AC33FD" w14:paraId="641A8B28" w14:textId="77777777" w:rsidTr="00F00429">
        <w:trPr>
          <w:trHeight w:val="509"/>
        </w:trPr>
        <w:tc>
          <w:tcPr>
            <w:tcW w:w="5386" w:type="dxa"/>
          </w:tcPr>
          <w:p w14:paraId="73C4B8F9" w14:textId="77777777" w:rsidR="009F405A" w:rsidRPr="00AC33FD" w:rsidRDefault="009F405A" w:rsidP="00F00429">
            <w:pPr>
              <w:jc w:val="center"/>
              <w:rPr>
                <w:rFonts w:ascii="Verdana" w:hAnsi="Verdana"/>
                <w:b/>
                <w:sz w:val="16"/>
                <w:szCs w:val="16"/>
              </w:rPr>
            </w:pPr>
            <w:r w:rsidRPr="00AC33FD">
              <w:rPr>
                <w:rFonts w:ascii="Verdana" w:hAnsi="Verdana"/>
                <w:b/>
                <w:sz w:val="16"/>
                <w:szCs w:val="16"/>
              </w:rPr>
              <w:t>Osoba</w:t>
            </w:r>
            <w:r>
              <w:rPr>
                <w:rFonts w:ascii="Verdana" w:hAnsi="Verdana"/>
                <w:b/>
                <w:sz w:val="16"/>
                <w:szCs w:val="16"/>
              </w:rPr>
              <w:t>/Podmiot odpowiedzialna/y</w:t>
            </w:r>
          </w:p>
        </w:tc>
        <w:tc>
          <w:tcPr>
            <w:tcW w:w="2410" w:type="dxa"/>
          </w:tcPr>
          <w:p w14:paraId="5CF918FF" w14:textId="77777777" w:rsidR="009F405A" w:rsidRPr="00AC33FD" w:rsidRDefault="009F405A" w:rsidP="00F00429">
            <w:pPr>
              <w:jc w:val="center"/>
              <w:rPr>
                <w:rFonts w:ascii="Verdana" w:hAnsi="Verdana"/>
                <w:b/>
                <w:sz w:val="16"/>
                <w:szCs w:val="16"/>
              </w:rPr>
            </w:pPr>
            <w:r w:rsidRPr="00AC33FD">
              <w:rPr>
                <w:rFonts w:ascii="Verdana" w:hAnsi="Verdana"/>
                <w:b/>
                <w:sz w:val="16"/>
                <w:szCs w:val="16"/>
              </w:rPr>
              <w:t>Zakres kompetencji</w:t>
            </w:r>
          </w:p>
        </w:tc>
        <w:tc>
          <w:tcPr>
            <w:tcW w:w="1276" w:type="dxa"/>
          </w:tcPr>
          <w:p w14:paraId="5B40E83E" w14:textId="77777777" w:rsidR="009F405A" w:rsidRPr="00AC33FD" w:rsidRDefault="009F405A" w:rsidP="00F00429">
            <w:pPr>
              <w:jc w:val="center"/>
              <w:rPr>
                <w:rFonts w:ascii="Verdana" w:hAnsi="Verdana"/>
                <w:b/>
                <w:sz w:val="16"/>
                <w:szCs w:val="16"/>
              </w:rPr>
            </w:pPr>
            <w:r w:rsidRPr="00AC33FD">
              <w:rPr>
                <w:rFonts w:ascii="Verdana" w:hAnsi="Verdana"/>
                <w:b/>
                <w:sz w:val="16"/>
                <w:szCs w:val="16"/>
              </w:rPr>
              <w:t>Data i podpis</w:t>
            </w:r>
          </w:p>
        </w:tc>
      </w:tr>
      <w:tr w:rsidR="009F405A" w:rsidRPr="00AC33FD" w14:paraId="11D9F649" w14:textId="77777777" w:rsidTr="00F00429">
        <w:trPr>
          <w:trHeight w:val="489"/>
        </w:trPr>
        <w:tc>
          <w:tcPr>
            <w:tcW w:w="5386" w:type="dxa"/>
          </w:tcPr>
          <w:p w14:paraId="6959684D" w14:textId="77777777" w:rsidR="009F405A" w:rsidRDefault="009F405A" w:rsidP="00F00429">
            <w:pPr>
              <w:rPr>
                <w:rFonts w:ascii="Verdana" w:hAnsi="Verdana"/>
                <w:sz w:val="16"/>
                <w:szCs w:val="16"/>
              </w:rPr>
            </w:pPr>
            <w:r w:rsidRPr="00672005">
              <w:rPr>
                <w:rFonts w:ascii="Verdana" w:hAnsi="Verdana"/>
                <w:sz w:val="16"/>
                <w:szCs w:val="16"/>
              </w:rPr>
              <w:t>Wnioskodawca</w:t>
            </w:r>
            <w:r>
              <w:rPr>
                <w:rFonts w:ascii="Verdana" w:hAnsi="Verdana"/>
                <w:sz w:val="16"/>
                <w:szCs w:val="16"/>
              </w:rPr>
              <w:t>: Komisja Skarg, Wniosków i Petycji</w:t>
            </w:r>
          </w:p>
        </w:tc>
        <w:tc>
          <w:tcPr>
            <w:tcW w:w="2410" w:type="dxa"/>
          </w:tcPr>
          <w:p w14:paraId="26034BF5" w14:textId="77777777" w:rsidR="009F405A" w:rsidRDefault="009F405A" w:rsidP="00F00429">
            <w:pPr>
              <w:jc w:val="center"/>
              <w:rPr>
                <w:rFonts w:ascii="Verdana" w:hAnsi="Verdana"/>
                <w:sz w:val="16"/>
                <w:szCs w:val="16"/>
              </w:rPr>
            </w:pPr>
            <w:r w:rsidRPr="00672005">
              <w:rPr>
                <w:rFonts w:ascii="Verdana" w:hAnsi="Verdana"/>
                <w:sz w:val="16"/>
                <w:szCs w:val="16"/>
              </w:rPr>
              <w:t>Inicjatywa Wnioskodawcza</w:t>
            </w:r>
          </w:p>
        </w:tc>
        <w:tc>
          <w:tcPr>
            <w:tcW w:w="1276" w:type="dxa"/>
          </w:tcPr>
          <w:p w14:paraId="6785C4C0" w14:textId="77777777" w:rsidR="009F405A" w:rsidRPr="00AC33FD" w:rsidRDefault="009F405A" w:rsidP="00F00429">
            <w:pPr>
              <w:jc w:val="center"/>
              <w:rPr>
                <w:rFonts w:ascii="Verdana" w:hAnsi="Verdana"/>
                <w:sz w:val="16"/>
                <w:szCs w:val="16"/>
              </w:rPr>
            </w:pPr>
            <w:r>
              <w:rPr>
                <w:rFonts w:ascii="Verdana" w:hAnsi="Verdana"/>
                <w:sz w:val="16"/>
                <w:szCs w:val="16"/>
              </w:rPr>
              <w:t>6.10.2025</w:t>
            </w:r>
          </w:p>
        </w:tc>
      </w:tr>
      <w:tr w:rsidR="009F405A" w:rsidRPr="00AC33FD" w14:paraId="3A9151E5" w14:textId="77777777" w:rsidTr="00F00429">
        <w:trPr>
          <w:trHeight w:val="509"/>
        </w:trPr>
        <w:tc>
          <w:tcPr>
            <w:tcW w:w="5386" w:type="dxa"/>
          </w:tcPr>
          <w:p w14:paraId="71C9FDA6" w14:textId="77777777" w:rsidR="009F405A" w:rsidRPr="00AC33FD" w:rsidRDefault="009F405A" w:rsidP="00F00429">
            <w:pPr>
              <w:rPr>
                <w:rFonts w:ascii="Verdana" w:hAnsi="Verdana"/>
                <w:sz w:val="16"/>
                <w:szCs w:val="16"/>
              </w:rPr>
            </w:pPr>
            <w:r>
              <w:rPr>
                <w:rFonts w:ascii="Verdana" w:hAnsi="Verdana"/>
                <w:sz w:val="16"/>
                <w:szCs w:val="16"/>
              </w:rPr>
              <w:t>Autor Projektu: Komisja Skarg, Wniosków i Petycji</w:t>
            </w:r>
          </w:p>
        </w:tc>
        <w:tc>
          <w:tcPr>
            <w:tcW w:w="2410" w:type="dxa"/>
          </w:tcPr>
          <w:p w14:paraId="6D14ACCF" w14:textId="77777777" w:rsidR="009F405A" w:rsidRPr="00AC33FD" w:rsidRDefault="009F405A" w:rsidP="00F00429">
            <w:pPr>
              <w:jc w:val="center"/>
              <w:rPr>
                <w:rFonts w:ascii="Verdana" w:hAnsi="Verdana"/>
                <w:sz w:val="16"/>
                <w:szCs w:val="16"/>
              </w:rPr>
            </w:pPr>
            <w:r>
              <w:rPr>
                <w:rFonts w:ascii="Verdana" w:hAnsi="Verdana"/>
                <w:sz w:val="16"/>
                <w:szCs w:val="16"/>
              </w:rPr>
              <w:t>P</w:t>
            </w:r>
            <w:r w:rsidRPr="00AC33FD">
              <w:rPr>
                <w:rFonts w:ascii="Verdana" w:hAnsi="Verdana"/>
                <w:sz w:val="16"/>
                <w:szCs w:val="16"/>
              </w:rPr>
              <w:t>rzygotował</w:t>
            </w:r>
          </w:p>
        </w:tc>
        <w:tc>
          <w:tcPr>
            <w:tcW w:w="1276" w:type="dxa"/>
          </w:tcPr>
          <w:p w14:paraId="4D36636E" w14:textId="77777777" w:rsidR="009F405A" w:rsidRPr="00AC33FD" w:rsidRDefault="009F405A" w:rsidP="00F00429">
            <w:pPr>
              <w:jc w:val="center"/>
              <w:rPr>
                <w:rFonts w:ascii="Verdana" w:hAnsi="Verdana"/>
                <w:sz w:val="16"/>
                <w:szCs w:val="16"/>
              </w:rPr>
            </w:pPr>
            <w:r>
              <w:rPr>
                <w:rFonts w:ascii="Verdana" w:hAnsi="Verdana"/>
                <w:sz w:val="16"/>
                <w:szCs w:val="16"/>
              </w:rPr>
              <w:t>6.10.2025</w:t>
            </w:r>
          </w:p>
        </w:tc>
      </w:tr>
      <w:tr w:rsidR="009F405A" w:rsidRPr="00AC33FD" w14:paraId="61B69206" w14:textId="77777777" w:rsidTr="00F00429">
        <w:trPr>
          <w:trHeight w:val="489"/>
        </w:trPr>
        <w:tc>
          <w:tcPr>
            <w:tcW w:w="5386" w:type="dxa"/>
          </w:tcPr>
          <w:p w14:paraId="73FF9D59" w14:textId="77777777" w:rsidR="009F405A" w:rsidRPr="00AC33FD" w:rsidRDefault="009F405A" w:rsidP="00F00429">
            <w:pPr>
              <w:rPr>
                <w:rFonts w:ascii="Verdana" w:hAnsi="Verdana"/>
                <w:sz w:val="16"/>
                <w:szCs w:val="16"/>
              </w:rPr>
            </w:pPr>
            <w:r>
              <w:rPr>
                <w:rFonts w:ascii="Verdana" w:hAnsi="Verdana"/>
                <w:sz w:val="16"/>
                <w:szCs w:val="16"/>
              </w:rPr>
              <w:t xml:space="preserve">Adwokat: Kamil </w:t>
            </w:r>
            <w:proofErr w:type="spellStart"/>
            <w:r>
              <w:rPr>
                <w:rFonts w:ascii="Verdana" w:hAnsi="Verdana"/>
                <w:sz w:val="16"/>
                <w:szCs w:val="16"/>
              </w:rPr>
              <w:t>Ochenkowski</w:t>
            </w:r>
            <w:proofErr w:type="spellEnd"/>
          </w:p>
        </w:tc>
        <w:tc>
          <w:tcPr>
            <w:tcW w:w="2410" w:type="dxa"/>
          </w:tcPr>
          <w:p w14:paraId="30445366" w14:textId="55A351A9" w:rsidR="009F405A" w:rsidRPr="00AC33FD" w:rsidRDefault="009F405A" w:rsidP="00F00429">
            <w:pPr>
              <w:jc w:val="center"/>
              <w:rPr>
                <w:rFonts w:ascii="Verdana" w:hAnsi="Verdana"/>
                <w:sz w:val="16"/>
                <w:szCs w:val="16"/>
              </w:rPr>
            </w:pPr>
          </w:p>
        </w:tc>
        <w:tc>
          <w:tcPr>
            <w:tcW w:w="1276" w:type="dxa"/>
          </w:tcPr>
          <w:p w14:paraId="48403178" w14:textId="7580A253" w:rsidR="009F405A" w:rsidRPr="00AC33FD" w:rsidRDefault="009F405A" w:rsidP="00F00429">
            <w:pPr>
              <w:jc w:val="center"/>
              <w:rPr>
                <w:rFonts w:ascii="Verdana" w:hAnsi="Verdana"/>
                <w:sz w:val="16"/>
                <w:szCs w:val="16"/>
              </w:rPr>
            </w:pPr>
          </w:p>
        </w:tc>
      </w:tr>
    </w:tbl>
    <w:p w14:paraId="0FDE4B72" w14:textId="77777777" w:rsidR="00477CA8" w:rsidRDefault="00477CA8" w:rsidP="00154F9A">
      <w:pPr>
        <w:pStyle w:val="Default"/>
      </w:pPr>
    </w:p>
    <w:p w14:paraId="5E011A05" w14:textId="77777777" w:rsidR="00477CA8" w:rsidRDefault="00477CA8" w:rsidP="00154F9A">
      <w:pPr>
        <w:pStyle w:val="Default"/>
      </w:pPr>
    </w:p>
    <w:p w14:paraId="6B502833" w14:textId="77777777" w:rsidR="00B24445" w:rsidRDefault="00B24445" w:rsidP="00EC6982">
      <w:pPr>
        <w:pStyle w:val="Default"/>
        <w:jc w:val="both"/>
        <w:rPr>
          <w:rFonts w:ascii="Verdana" w:hAnsi="Verdana"/>
          <w:sz w:val="20"/>
          <w:szCs w:val="20"/>
        </w:rPr>
      </w:pPr>
    </w:p>
    <w:p w14:paraId="1E642D9A" w14:textId="77777777" w:rsidR="00B2582E" w:rsidRDefault="00B2582E" w:rsidP="00EC6982">
      <w:pPr>
        <w:pStyle w:val="Default"/>
        <w:jc w:val="both"/>
        <w:rPr>
          <w:rFonts w:ascii="Verdana" w:hAnsi="Verdana"/>
          <w:sz w:val="20"/>
          <w:szCs w:val="20"/>
        </w:rPr>
      </w:pPr>
    </w:p>
    <w:p w14:paraId="2D750AAA" w14:textId="77777777" w:rsidR="00B2582E" w:rsidRDefault="00B2582E" w:rsidP="00EC6982">
      <w:pPr>
        <w:pStyle w:val="Default"/>
        <w:jc w:val="both"/>
        <w:rPr>
          <w:rFonts w:ascii="Verdana" w:hAnsi="Verdana"/>
          <w:sz w:val="20"/>
          <w:szCs w:val="20"/>
        </w:rPr>
      </w:pPr>
    </w:p>
    <w:p w14:paraId="3BF9DC57" w14:textId="77777777" w:rsidR="005C70F2" w:rsidRDefault="005C70F2" w:rsidP="00EC6982">
      <w:pPr>
        <w:pStyle w:val="Default"/>
        <w:jc w:val="both"/>
        <w:rPr>
          <w:rFonts w:ascii="Verdana" w:hAnsi="Verdana"/>
          <w:sz w:val="20"/>
          <w:szCs w:val="20"/>
        </w:rPr>
      </w:pPr>
    </w:p>
    <w:p w14:paraId="7AA39EAF" w14:textId="77777777" w:rsidR="005C70F2" w:rsidRDefault="005C70F2" w:rsidP="00EC6982">
      <w:pPr>
        <w:pStyle w:val="Default"/>
        <w:jc w:val="both"/>
        <w:rPr>
          <w:rFonts w:ascii="Verdana" w:hAnsi="Verdana"/>
          <w:sz w:val="20"/>
          <w:szCs w:val="20"/>
        </w:rPr>
      </w:pPr>
    </w:p>
    <w:p w14:paraId="3F7C8F64" w14:textId="77777777" w:rsidR="005C70F2" w:rsidRDefault="005C70F2" w:rsidP="00EC6982">
      <w:pPr>
        <w:pStyle w:val="Default"/>
        <w:jc w:val="both"/>
        <w:rPr>
          <w:rFonts w:ascii="Verdana" w:hAnsi="Verdana"/>
          <w:sz w:val="20"/>
          <w:szCs w:val="20"/>
        </w:rPr>
      </w:pPr>
    </w:p>
    <w:p w14:paraId="13875CFD" w14:textId="77777777" w:rsidR="005C70F2" w:rsidRDefault="005C70F2" w:rsidP="00EC6982">
      <w:pPr>
        <w:pStyle w:val="Default"/>
        <w:jc w:val="both"/>
        <w:rPr>
          <w:rFonts w:ascii="Verdana" w:hAnsi="Verdana"/>
          <w:sz w:val="20"/>
          <w:szCs w:val="20"/>
        </w:rPr>
      </w:pPr>
    </w:p>
    <w:p w14:paraId="0BF91D46" w14:textId="77777777" w:rsidR="005449A6" w:rsidRDefault="005449A6" w:rsidP="00EC6982">
      <w:pPr>
        <w:pStyle w:val="Default"/>
        <w:jc w:val="both"/>
        <w:rPr>
          <w:rFonts w:ascii="Verdana" w:hAnsi="Verdana"/>
          <w:sz w:val="20"/>
          <w:szCs w:val="20"/>
        </w:rPr>
      </w:pPr>
    </w:p>
    <w:p w14:paraId="391DAB2E" w14:textId="77777777" w:rsidR="00B2582E" w:rsidRDefault="00B2582E" w:rsidP="00EC6982">
      <w:pPr>
        <w:pStyle w:val="Default"/>
        <w:jc w:val="both"/>
        <w:rPr>
          <w:rFonts w:ascii="Verdana" w:hAnsi="Verdana"/>
          <w:sz w:val="20"/>
          <w:szCs w:val="20"/>
        </w:rPr>
      </w:pPr>
    </w:p>
    <w:p w14:paraId="7D232C6D" w14:textId="77777777" w:rsidR="00B24445" w:rsidRPr="005138EB" w:rsidRDefault="00B24445" w:rsidP="00B24445">
      <w:pPr>
        <w:spacing w:after="0" w:line="360" w:lineRule="auto"/>
        <w:jc w:val="center"/>
        <w:rPr>
          <w:rFonts w:ascii="Verdana" w:hAnsi="Verdana"/>
          <w:b/>
          <w:sz w:val="20"/>
          <w:szCs w:val="20"/>
        </w:rPr>
      </w:pPr>
      <w:r w:rsidRPr="005138EB">
        <w:rPr>
          <w:rFonts w:ascii="Verdana" w:hAnsi="Verdana"/>
          <w:b/>
          <w:sz w:val="20"/>
          <w:szCs w:val="20"/>
        </w:rPr>
        <w:lastRenderedPageBreak/>
        <w:t>Uzasadnienie</w:t>
      </w:r>
    </w:p>
    <w:p w14:paraId="496C5433" w14:textId="77777777" w:rsidR="00B24445" w:rsidRPr="005138EB" w:rsidRDefault="00B24445" w:rsidP="00B24445">
      <w:pPr>
        <w:spacing w:after="0" w:line="360" w:lineRule="auto"/>
        <w:jc w:val="center"/>
        <w:rPr>
          <w:rFonts w:ascii="Verdana" w:hAnsi="Verdana"/>
          <w:b/>
          <w:sz w:val="20"/>
          <w:szCs w:val="20"/>
        </w:rPr>
      </w:pPr>
      <w:r w:rsidRPr="005138EB">
        <w:rPr>
          <w:rFonts w:ascii="Verdana" w:hAnsi="Verdana"/>
          <w:b/>
          <w:sz w:val="20"/>
          <w:szCs w:val="20"/>
        </w:rPr>
        <w:t>do Uchwały Nr</w:t>
      </w:r>
      <w:r>
        <w:rPr>
          <w:rFonts w:ascii="Verdana" w:hAnsi="Verdana"/>
          <w:b/>
          <w:sz w:val="20"/>
          <w:szCs w:val="20"/>
        </w:rPr>
        <w:t xml:space="preserve"> ……………….</w:t>
      </w:r>
    </w:p>
    <w:p w14:paraId="5BE6F314" w14:textId="77777777" w:rsidR="00B24445" w:rsidRPr="005138EB" w:rsidRDefault="00B24445" w:rsidP="00B24445">
      <w:pPr>
        <w:spacing w:after="0" w:line="360" w:lineRule="auto"/>
        <w:jc w:val="center"/>
        <w:rPr>
          <w:rFonts w:ascii="Verdana" w:hAnsi="Verdana"/>
          <w:b/>
          <w:sz w:val="20"/>
          <w:szCs w:val="20"/>
        </w:rPr>
      </w:pPr>
      <w:r w:rsidRPr="005138EB">
        <w:rPr>
          <w:rFonts w:ascii="Verdana" w:hAnsi="Verdana"/>
          <w:b/>
          <w:sz w:val="20"/>
          <w:szCs w:val="20"/>
        </w:rPr>
        <w:t>Rady Miejskiej w Szklarskiej Porębie</w:t>
      </w:r>
    </w:p>
    <w:p w14:paraId="46083C34" w14:textId="0078F346" w:rsidR="00B24445" w:rsidRDefault="00B2582E" w:rsidP="00B2582E">
      <w:pPr>
        <w:spacing w:after="0" w:line="360" w:lineRule="auto"/>
        <w:rPr>
          <w:rFonts w:ascii="Verdana" w:hAnsi="Verdana"/>
          <w:b/>
          <w:sz w:val="20"/>
          <w:szCs w:val="20"/>
        </w:rPr>
      </w:pPr>
      <w:r>
        <w:rPr>
          <w:rFonts w:ascii="Verdana" w:hAnsi="Verdana"/>
          <w:b/>
          <w:sz w:val="20"/>
          <w:szCs w:val="20"/>
        </w:rPr>
        <w:t xml:space="preserve">                                                     </w:t>
      </w:r>
      <w:r w:rsidR="00B24445" w:rsidRPr="005138EB">
        <w:rPr>
          <w:rFonts w:ascii="Verdana" w:hAnsi="Verdana"/>
          <w:b/>
          <w:sz w:val="20"/>
          <w:szCs w:val="20"/>
        </w:rPr>
        <w:t>z dnia</w:t>
      </w:r>
      <w:r w:rsidR="00B24445">
        <w:rPr>
          <w:rFonts w:ascii="Verdana" w:hAnsi="Verdana"/>
          <w:b/>
          <w:sz w:val="20"/>
          <w:szCs w:val="20"/>
        </w:rPr>
        <w:t xml:space="preserve"> </w:t>
      </w:r>
      <w:r w:rsidR="00477CA8">
        <w:rPr>
          <w:rFonts w:ascii="Verdana" w:hAnsi="Verdana"/>
          <w:b/>
          <w:sz w:val="20"/>
          <w:szCs w:val="20"/>
        </w:rPr>
        <w:t xml:space="preserve"> </w:t>
      </w:r>
      <w:r w:rsidR="00B24445">
        <w:rPr>
          <w:rFonts w:ascii="Verdana" w:hAnsi="Verdana"/>
          <w:b/>
          <w:sz w:val="20"/>
          <w:szCs w:val="20"/>
        </w:rPr>
        <w:t xml:space="preserve"> 2025 r.</w:t>
      </w:r>
    </w:p>
    <w:p w14:paraId="44FA6CFC" w14:textId="77777777" w:rsidR="00B24445" w:rsidRDefault="00B24445" w:rsidP="00EC6982">
      <w:pPr>
        <w:pStyle w:val="Default"/>
        <w:jc w:val="both"/>
        <w:rPr>
          <w:rFonts w:ascii="Verdana" w:hAnsi="Verdana"/>
          <w:sz w:val="20"/>
          <w:szCs w:val="20"/>
        </w:rPr>
      </w:pPr>
    </w:p>
    <w:p w14:paraId="5633CE12" w14:textId="77777777" w:rsidR="00477CA8" w:rsidRDefault="00477CA8" w:rsidP="00EC6982">
      <w:pPr>
        <w:pStyle w:val="Default"/>
        <w:jc w:val="both"/>
        <w:rPr>
          <w:rFonts w:ascii="Verdana" w:hAnsi="Verdana"/>
          <w:sz w:val="20"/>
          <w:szCs w:val="20"/>
        </w:rPr>
      </w:pPr>
    </w:p>
    <w:p w14:paraId="30D32EF9" w14:textId="77777777" w:rsidR="005C70F2" w:rsidRDefault="00B24445" w:rsidP="005C70F2">
      <w:pPr>
        <w:spacing w:after="0" w:line="360" w:lineRule="auto"/>
        <w:jc w:val="both"/>
        <w:rPr>
          <w:rFonts w:ascii="Verdana" w:hAnsi="Verdana"/>
          <w:sz w:val="20"/>
          <w:szCs w:val="20"/>
        </w:rPr>
      </w:pPr>
      <w:r>
        <w:rPr>
          <w:rFonts w:ascii="Verdana" w:hAnsi="Verdana"/>
          <w:sz w:val="20"/>
          <w:szCs w:val="20"/>
        </w:rPr>
        <w:tab/>
      </w:r>
      <w:r w:rsidRPr="005C70F2">
        <w:rPr>
          <w:rFonts w:ascii="Verdana" w:hAnsi="Verdana"/>
          <w:sz w:val="20"/>
          <w:szCs w:val="20"/>
        </w:rPr>
        <w:t>W dniu</w:t>
      </w:r>
      <w:r w:rsidR="00154F9A" w:rsidRPr="005C70F2">
        <w:rPr>
          <w:rFonts w:ascii="Verdana" w:hAnsi="Verdana"/>
          <w:sz w:val="20"/>
          <w:szCs w:val="20"/>
        </w:rPr>
        <w:t xml:space="preserve"> </w:t>
      </w:r>
      <w:r w:rsidR="005C70F2">
        <w:rPr>
          <w:rFonts w:ascii="Verdana" w:hAnsi="Verdana"/>
          <w:sz w:val="20"/>
          <w:szCs w:val="20"/>
        </w:rPr>
        <w:t xml:space="preserve">11 marca </w:t>
      </w:r>
      <w:r w:rsidR="00154F9A" w:rsidRPr="005C70F2">
        <w:rPr>
          <w:rFonts w:ascii="Verdana" w:hAnsi="Verdana"/>
          <w:sz w:val="20"/>
          <w:szCs w:val="20"/>
        </w:rPr>
        <w:t>2025 roku</w:t>
      </w:r>
      <w:r w:rsidRPr="005C70F2">
        <w:rPr>
          <w:rFonts w:ascii="Verdana" w:hAnsi="Verdana"/>
          <w:sz w:val="20"/>
          <w:szCs w:val="20"/>
        </w:rPr>
        <w:t xml:space="preserve"> do Rady Miejskiej w Szklarskiej Porębie wpłynęła petycja</w:t>
      </w:r>
      <w:r w:rsidR="00154F9A" w:rsidRPr="005C70F2">
        <w:rPr>
          <w:rFonts w:ascii="Verdana" w:hAnsi="Verdana"/>
          <w:sz w:val="20"/>
          <w:szCs w:val="20"/>
        </w:rPr>
        <w:t xml:space="preserve"> </w:t>
      </w:r>
      <w:r w:rsidR="005C70F2" w:rsidRPr="005C70F2">
        <w:rPr>
          <w:rFonts w:ascii="Verdana" w:hAnsi="Verdana"/>
          <w:sz w:val="20"/>
          <w:szCs w:val="20"/>
        </w:rPr>
        <w:t xml:space="preserve">mieszkańców w sprawie działalności kopalni </w:t>
      </w:r>
      <w:proofErr w:type="spellStart"/>
      <w:r w:rsidR="005C70F2" w:rsidRPr="005C70F2">
        <w:rPr>
          <w:rFonts w:ascii="Verdana" w:hAnsi="Verdana"/>
          <w:sz w:val="20"/>
          <w:szCs w:val="20"/>
        </w:rPr>
        <w:t>Izer</w:t>
      </w:r>
      <w:proofErr w:type="spellEnd"/>
      <w:r w:rsidR="005C70F2" w:rsidRPr="005C70F2">
        <w:rPr>
          <w:rFonts w:ascii="Verdana" w:hAnsi="Verdana"/>
          <w:sz w:val="20"/>
          <w:szCs w:val="20"/>
        </w:rPr>
        <w:t xml:space="preserve"> Granit</w:t>
      </w:r>
      <w:r w:rsidR="005C70F2">
        <w:rPr>
          <w:rFonts w:ascii="Verdana" w:hAnsi="Verdana"/>
          <w:sz w:val="20"/>
          <w:szCs w:val="20"/>
        </w:rPr>
        <w:t>.</w:t>
      </w:r>
    </w:p>
    <w:p w14:paraId="6B6D75B5" w14:textId="1F279ACF" w:rsidR="005C70F2" w:rsidRPr="005C70F2" w:rsidRDefault="005C70F2" w:rsidP="005C70F2">
      <w:pPr>
        <w:spacing w:after="0" w:line="360" w:lineRule="auto"/>
        <w:ind w:firstLine="360"/>
        <w:jc w:val="both"/>
        <w:rPr>
          <w:rFonts w:ascii="Verdana" w:hAnsi="Verdana"/>
          <w:sz w:val="20"/>
          <w:szCs w:val="20"/>
        </w:rPr>
      </w:pPr>
      <w:r w:rsidRPr="005C70F2">
        <w:rPr>
          <w:rFonts w:ascii="Verdana" w:hAnsi="Verdana"/>
          <w:sz w:val="20"/>
          <w:szCs w:val="20"/>
        </w:rPr>
        <w:t xml:space="preserve"> Komisja Skarg, Wniosków i Petycji</w:t>
      </w:r>
      <w:r>
        <w:rPr>
          <w:rFonts w:ascii="Verdana" w:hAnsi="Verdana"/>
          <w:sz w:val="20"/>
          <w:szCs w:val="20"/>
        </w:rPr>
        <w:t xml:space="preserve"> Rady Miejskiej w Szklarskiej Porębie</w:t>
      </w:r>
      <w:r w:rsidRPr="005C70F2">
        <w:rPr>
          <w:rFonts w:ascii="Verdana" w:hAnsi="Verdana"/>
          <w:sz w:val="20"/>
          <w:szCs w:val="20"/>
        </w:rPr>
        <w:t xml:space="preserve">, działając na podstawie art. 18b ust. 1 ustawy o samorządzie gminnym, przeprowadziła analizę w związku z petycją </w:t>
      </w:r>
      <w:bookmarkStart w:id="0" w:name="_Hlk212027724"/>
      <w:r w:rsidRPr="005C70F2">
        <w:rPr>
          <w:rFonts w:ascii="Verdana" w:hAnsi="Verdana"/>
          <w:sz w:val="20"/>
          <w:szCs w:val="20"/>
        </w:rPr>
        <w:t xml:space="preserve">mieszkańców Szklarskiej Poręby dotyczącą funkcjonowania zakładu wydobywczego </w:t>
      </w:r>
      <w:proofErr w:type="spellStart"/>
      <w:r w:rsidRPr="005C70F2">
        <w:rPr>
          <w:rFonts w:ascii="Verdana" w:hAnsi="Verdana"/>
          <w:sz w:val="20"/>
          <w:szCs w:val="20"/>
        </w:rPr>
        <w:t>Izer</w:t>
      </w:r>
      <w:proofErr w:type="spellEnd"/>
      <w:r w:rsidRPr="005C70F2">
        <w:rPr>
          <w:rFonts w:ascii="Verdana" w:hAnsi="Verdana"/>
          <w:sz w:val="20"/>
          <w:szCs w:val="20"/>
        </w:rPr>
        <w:t xml:space="preserve"> Granit</w:t>
      </w:r>
      <w:r>
        <w:rPr>
          <w:rFonts w:ascii="Verdana" w:hAnsi="Verdana"/>
          <w:sz w:val="20"/>
          <w:szCs w:val="20"/>
        </w:rPr>
        <w:t xml:space="preserve"> </w:t>
      </w:r>
      <w:r w:rsidRPr="005C70F2">
        <w:rPr>
          <w:rFonts w:ascii="Verdana" w:hAnsi="Verdana"/>
          <w:sz w:val="20"/>
          <w:szCs w:val="20"/>
        </w:rPr>
        <w:t>zlokalizowanego w rejonie Szklarskiej Poręby Huty (działka nr 297/1, obręb 8).</w:t>
      </w:r>
      <w:bookmarkEnd w:id="0"/>
      <w:r>
        <w:rPr>
          <w:rFonts w:ascii="Verdana" w:hAnsi="Verdana"/>
          <w:sz w:val="20"/>
          <w:szCs w:val="20"/>
        </w:rPr>
        <w:t xml:space="preserve"> </w:t>
      </w:r>
      <w:r w:rsidRPr="005C70F2">
        <w:rPr>
          <w:rFonts w:ascii="Verdana" w:hAnsi="Verdana"/>
          <w:sz w:val="20"/>
          <w:szCs w:val="20"/>
        </w:rPr>
        <w:t>Zakres kontroli obejmował w szczególności:</w:t>
      </w:r>
    </w:p>
    <w:p w14:paraId="61498419" w14:textId="0081EC86" w:rsidR="005C70F2" w:rsidRPr="005C70F2" w:rsidRDefault="005C70F2" w:rsidP="005C70F2">
      <w:pPr>
        <w:pStyle w:val="Akapitzlist"/>
        <w:numPr>
          <w:ilvl w:val="0"/>
          <w:numId w:val="2"/>
        </w:numPr>
        <w:suppressAutoHyphens/>
        <w:autoSpaceDN w:val="0"/>
        <w:spacing w:after="0" w:line="360" w:lineRule="auto"/>
        <w:jc w:val="both"/>
        <w:rPr>
          <w:rFonts w:ascii="Verdana" w:hAnsi="Verdana"/>
          <w:sz w:val="20"/>
          <w:szCs w:val="20"/>
        </w:rPr>
      </w:pPr>
      <w:r w:rsidRPr="005C70F2">
        <w:rPr>
          <w:rFonts w:ascii="Verdana" w:hAnsi="Verdana"/>
          <w:sz w:val="20"/>
          <w:szCs w:val="20"/>
        </w:rPr>
        <w:t>ustalenie stanu faktycznego i prawnego prowadzenia działalności górniczej po wygaśnięciu koncesji</w:t>
      </w:r>
      <w:r>
        <w:rPr>
          <w:rFonts w:ascii="Verdana" w:hAnsi="Verdana"/>
          <w:sz w:val="20"/>
          <w:szCs w:val="20"/>
        </w:rPr>
        <w:t>;</w:t>
      </w:r>
    </w:p>
    <w:p w14:paraId="5C5D9E9A" w14:textId="36829FE2" w:rsidR="005C70F2" w:rsidRPr="005C70F2" w:rsidRDefault="005C70F2" w:rsidP="005C70F2">
      <w:pPr>
        <w:numPr>
          <w:ilvl w:val="0"/>
          <w:numId w:val="2"/>
        </w:numPr>
        <w:suppressAutoHyphens/>
        <w:autoSpaceDN w:val="0"/>
        <w:spacing w:after="0" w:line="360" w:lineRule="auto"/>
        <w:jc w:val="both"/>
        <w:rPr>
          <w:rFonts w:ascii="Verdana" w:hAnsi="Verdana"/>
          <w:sz w:val="20"/>
          <w:szCs w:val="20"/>
        </w:rPr>
      </w:pPr>
      <w:r w:rsidRPr="005C70F2">
        <w:rPr>
          <w:rFonts w:ascii="Verdana" w:hAnsi="Verdana"/>
          <w:sz w:val="20"/>
          <w:szCs w:val="20"/>
        </w:rPr>
        <w:t>ocenę działań Burmistrza Miasta jako organu reprezentującego właściciela nieruchomości</w:t>
      </w:r>
      <w:r>
        <w:rPr>
          <w:rFonts w:ascii="Verdana" w:hAnsi="Verdana"/>
          <w:sz w:val="20"/>
          <w:szCs w:val="20"/>
        </w:rPr>
        <w:t>;</w:t>
      </w:r>
    </w:p>
    <w:p w14:paraId="0E9A6CE3" w14:textId="431C412D" w:rsidR="005C70F2" w:rsidRPr="005C70F2" w:rsidRDefault="005C70F2" w:rsidP="005C70F2">
      <w:pPr>
        <w:numPr>
          <w:ilvl w:val="0"/>
          <w:numId w:val="2"/>
        </w:numPr>
        <w:suppressAutoHyphens/>
        <w:autoSpaceDN w:val="0"/>
        <w:spacing w:after="0" w:line="360" w:lineRule="auto"/>
        <w:jc w:val="both"/>
        <w:rPr>
          <w:rFonts w:ascii="Verdana" w:hAnsi="Verdana"/>
          <w:sz w:val="20"/>
          <w:szCs w:val="20"/>
        </w:rPr>
      </w:pPr>
      <w:r w:rsidRPr="005C70F2">
        <w:rPr>
          <w:rFonts w:ascii="Verdana" w:hAnsi="Verdana"/>
          <w:sz w:val="20"/>
          <w:szCs w:val="20"/>
        </w:rPr>
        <w:t>analizę dokumentacji pokontrolnej Wojewódzkiego Inspektoratu Ochrony Środowiska i Okręgowego Urzędu Górniczego</w:t>
      </w:r>
      <w:r>
        <w:rPr>
          <w:rFonts w:ascii="Verdana" w:hAnsi="Verdana"/>
          <w:sz w:val="20"/>
          <w:szCs w:val="20"/>
        </w:rPr>
        <w:t>;</w:t>
      </w:r>
    </w:p>
    <w:p w14:paraId="55500C5E" w14:textId="653C0C20" w:rsidR="005C70F2" w:rsidRPr="005C70F2" w:rsidRDefault="005C70F2" w:rsidP="005C70F2">
      <w:pPr>
        <w:numPr>
          <w:ilvl w:val="0"/>
          <w:numId w:val="2"/>
        </w:numPr>
        <w:suppressAutoHyphens/>
        <w:autoSpaceDN w:val="0"/>
        <w:spacing w:after="0" w:line="360" w:lineRule="auto"/>
        <w:jc w:val="both"/>
        <w:rPr>
          <w:rFonts w:ascii="Verdana" w:hAnsi="Verdana"/>
          <w:sz w:val="20"/>
          <w:szCs w:val="20"/>
        </w:rPr>
      </w:pPr>
      <w:r w:rsidRPr="005C70F2">
        <w:rPr>
          <w:rFonts w:ascii="Verdana" w:hAnsi="Verdana"/>
          <w:sz w:val="20"/>
          <w:szCs w:val="20"/>
        </w:rPr>
        <w:t>weryfikację przestrzegania przepisów ustawy z dnia 14 grudnia 2012 r. o odpadach</w:t>
      </w:r>
      <w:r>
        <w:rPr>
          <w:rFonts w:ascii="Verdana" w:hAnsi="Verdana"/>
          <w:sz w:val="20"/>
          <w:szCs w:val="20"/>
        </w:rPr>
        <w:t>;</w:t>
      </w:r>
    </w:p>
    <w:p w14:paraId="7C2DDA73" w14:textId="5BF469B2" w:rsidR="005C70F2" w:rsidRPr="005C70F2" w:rsidRDefault="005C70F2" w:rsidP="005C70F2">
      <w:pPr>
        <w:numPr>
          <w:ilvl w:val="0"/>
          <w:numId w:val="2"/>
        </w:numPr>
        <w:suppressAutoHyphens/>
        <w:autoSpaceDN w:val="0"/>
        <w:spacing w:after="0" w:line="360" w:lineRule="auto"/>
        <w:jc w:val="both"/>
        <w:rPr>
          <w:rFonts w:ascii="Verdana" w:hAnsi="Verdana"/>
          <w:sz w:val="20"/>
          <w:szCs w:val="20"/>
        </w:rPr>
      </w:pPr>
      <w:r w:rsidRPr="005C70F2">
        <w:rPr>
          <w:rFonts w:ascii="Verdana" w:hAnsi="Verdana"/>
          <w:sz w:val="20"/>
          <w:szCs w:val="20"/>
        </w:rPr>
        <w:t>ustalenie czy Gmina podejmowała skuteczne działania nadzorcze i egzekucyjne wobec dzierżawcy terenu</w:t>
      </w:r>
    </w:p>
    <w:p w14:paraId="0622697D" w14:textId="77777777" w:rsidR="005C70F2" w:rsidRPr="005C70F2" w:rsidRDefault="005C70F2" w:rsidP="005C70F2">
      <w:pPr>
        <w:spacing w:after="0" w:line="360" w:lineRule="auto"/>
        <w:rPr>
          <w:rFonts w:ascii="Verdana" w:hAnsi="Verdana"/>
          <w:sz w:val="20"/>
          <w:szCs w:val="20"/>
        </w:rPr>
      </w:pPr>
      <w:r w:rsidRPr="005C70F2">
        <w:rPr>
          <w:rFonts w:ascii="Verdana" w:hAnsi="Verdana"/>
          <w:b/>
          <w:bCs/>
          <w:sz w:val="20"/>
          <w:szCs w:val="20"/>
        </w:rPr>
        <w:t>Stan prawny działalności kopalni</w:t>
      </w:r>
    </w:p>
    <w:p w14:paraId="372FAB6C" w14:textId="13F0F4AE" w:rsidR="005C70F2" w:rsidRPr="005C70F2" w:rsidRDefault="005C70F2" w:rsidP="005C70F2">
      <w:pPr>
        <w:spacing w:after="0" w:line="360" w:lineRule="auto"/>
        <w:ind w:firstLine="708"/>
        <w:jc w:val="both"/>
        <w:rPr>
          <w:rFonts w:ascii="Verdana" w:hAnsi="Verdana"/>
          <w:sz w:val="20"/>
          <w:szCs w:val="20"/>
        </w:rPr>
      </w:pPr>
      <w:r w:rsidRPr="005C70F2">
        <w:rPr>
          <w:rFonts w:ascii="Verdana" w:hAnsi="Verdana"/>
          <w:sz w:val="20"/>
          <w:szCs w:val="20"/>
        </w:rPr>
        <w:t xml:space="preserve">Z dokumentów Urzędu Górniczego wynika, że kopalnia </w:t>
      </w:r>
      <w:proofErr w:type="spellStart"/>
      <w:r w:rsidRPr="005C70F2">
        <w:rPr>
          <w:rFonts w:ascii="Verdana" w:hAnsi="Verdana"/>
          <w:sz w:val="20"/>
          <w:szCs w:val="20"/>
        </w:rPr>
        <w:t>Izer</w:t>
      </w:r>
      <w:proofErr w:type="spellEnd"/>
      <w:r w:rsidRPr="005C70F2">
        <w:rPr>
          <w:rFonts w:ascii="Verdana" w:hAnsi="Verdana"/>
          <w:sz w:val="20"/>
          <w:szCs w:val="20"/>
        </w:rPr>
        <w:t xml:space="preserve"> Granit prowadzona przez spółkę IK Granit Sp. z o.o. posiadała koncesję na wydobycie granitu (nr 25/E/92) do dnia 30 czerwca 2022 r. Po tym terminie koncesja wygasła, a przedsiębiorca nie uzyskał nowego pozwolenia. W toku ustaleń nie stwierdzono, aby po wygaśnięciu koncesji prowadzono działalność wydobywczą. Kontynuowano działalność magazynową. W tym jednak zakresie doszło do składowania odpadów ziemnych bez wymaganego zezwolenia. Odpady te pochodziły z budowy prowadzonej przy ul. Turystycznej 2 w Szklarskiej Porębie i były transportowane na teren zakładu </w:t>
      </w:r>
      <w:r w:rsidRPr="005C70F2">
        <w:rPr>
          <w:rFonts w:ascii="Verdana" w:hAnsi="Verdana"/>
          <w:b/>
          <w:bCs/>
          <w:sz w:val="20"/>
          <w:szCs w:val="20"/>
        </w:rPr>
        <w:t>z naruszeniem przepisów ustawy z dnia 14 grudnia 2012 r. o odpadach (Dz.U. z 2023 r. poz. 1587)</w:t>
      </w:r>
      <w:r w:rsidRPr="005C70F2">
        <w:rPr>
          <w:rFonts w:ascii="Verdana" w:hAnsi="Verdana"/>
          <w:sz w:val="20"/>
          <w:szCs w:val="20"/>
        </w:rPr>
        <w:t>.</w:t>
      </w:r>
      <w:r>
        <w:rPr>
          <w:rFonts w:ascii="Verdana" w:hAnsi="Verdana"/>
          <w:sz w:val="20"/>
          <w:szCs w:val="20"/>
        </w:rPr>
        <w:t xml:space="preserve"> </w:t>
      </w:r>
      <w:r w:rsidRPr="005C70F2">
        <w:rPr>
          <w:rFonts w:ascii="Verdana" w:hAnsi="Verdana"/>
          <w:sz w:val="20"/>
          <w:szCs w:val="20"/>
        </w:rPr>
        <w:t>Kopalnia nie posiadała decyzji na przetwarzanie ani magazynowanie odpadów, a przewożone masy ziemne i gruzowe zostały zakwalifikowane jako odpady o kodach 17 05 04 i 17 09 04.</w:t>
      </w:r>
      <w:r>
        <w:rPr>
          <w:rFonts w:ascii="Verdana" w:hAnsi="Verdana"/>
          <w:sz w:val="20"/>
          <w:szCs w:val="20"/>
        </w:rPr>
        <w:t xml:space="preserve"> </w:t>
      </w:r>
      <w:r w:rsidRPr="005C70F2">
        <w:rPr>
          <w:rFonts w:ascii="Verdana" w:hAnsi="Verdana"/>
          <w:sz w:val="20"/>
          <w:szCs w:val="20"/>
        </w:rPr>
        <w:t xml:space="preserve">Wojewódzki Inspektorat Ochrony Środowiska, po stwierdzeniu naruszeń, </w:t>
      </w:r>
      <w:r w:rsidRPr="005C70F2">
        <w:rPr>
          <w:rFonts w:ascii="Verdana" w:hAnsi="Verdana"/>
          <w:b/>
          <w:bCs/>
          <w:sz w:val="20"/>
          <w:szCs w:val="20"/>
        </w:rPr>
        <w:t>wydał decyzję nakazującą usunięcie i utylizację odpadów</w:t>
      </w:r>
      <w:r w:rsidRPr="005C70F2">
        <w:rPr>
          <w:rFonts w:ascii="Verdana" w:hAnsi="Verdana"/>
          <w:sz w:val="20"/>
          <w:szCs w:val="20"/>
        </w:rPr>
        <w:t xml:space="preserve"> w terminie określonym decyzją administracyjną. </w:t>
      </w:r>
    </w:p>
    <w:p w14:paraId="3AD0174A" w14:textId="77777777" w:rsidR="005C70F2" w:rsidRPr="005C70F2" w:rsidRDefault="005C70F2" w:rsidP="005C70F2">
      <w:pPr>
        <w:rPr>
          <w:rFonts w:ascii="Verdana" w:hAnsi="Verdana"/>
          <w:sz w:val="20"/>
          <w:szCs w:val="20"/>
        </w:rPr>
      </w:pPr>
    </w:p>
    <w:p w14:paraId="3F25CE82" w14:textId="77777777" w:rsidR="005C70F2" w:rsidRDefault="005C70F2" w:rsidP="005C70F2">
      <w:pPr>
        <w:spacing w:after="0" w:line="360" w:lineRule="auto"/>
        <w:rPr>
          <w:rFonts w:ascii="Verdana" w:hAnsi="Verdana"/>
          <w:sz w:val="20"/>
          <w:szCs w:val="20"/>
        </w:rPr>
      </w:pPr>
      <w:r w:rsidRPr="005C70F2">
        <w:rPr>
          <w:rFonts w:ascii="Verdana" w:hAnsi="Verdana"/>
          <w:b/>
          <w:bCs/>
          <w:sz w:val="20"/>
          <w:szCs w:val="20"/>
        </w:rPr>
        <w:lastRenderedPageBreak/>
        <w:t>Ustalenia Okręgowego Urzędu Górniczego we Wrocławiu</w:t>
      </w:r>
    </w:p>
    <w:p w14:paraId="786A6348" w14:textId="42367B52" w:rsidR="005C70F2" w:rsidRPr="005C70F2" w:rsidRDefault="005C70F2" w:rsidP="005C70F2">
      <w:pPr>
        <w:spacing w:after="0" w:line="360" w:lineRule="auto"/>
        <w:ind w:firstLine="360"/>
        <w:jc w:val="both"/>
        <w:rPr>
          <w:rFonts w:ascii="Verdana" w:hAnsi="Verdana"/>
          <w:sz w:val="20"/>
          <w:szCs w:val="20"/>
        </w:rPr>
      </w:pPr>
      <w:r w:rsidRPr="005C70F2">
        <w:rPr>
          <w:rFonts w:ascii="Verdana" w:hAnsi="Verdana"/>
          <w:sz w:val="20"/>
          <w:szCs w:val="20"/>
        </w:rPr>
        <w:t>W protokole kontroli przeprowadzonej przez pracowników OUG w dniach 22.10. -24.10. 2024 stwierdzono:</w:t>
      </w:r>
    </w:p>
    <w:p w14:paraId="246FAE8E" w14:textId="4558414B" w:rsidR="005C70F2" w:rsidRPr="005C70F2" w:rsidRDefault="005C70F2" w:rsidP="005C70F2">
      <w:pPr>
        <w:pStyle w:val="Akapitzlist"/>
        <w:numPr>
          <w:ilvl w:val="0"/>
          <w:numId w:val="3"/>
        </w:numPr>
        <w:suppressAutoHyphens/>
        <w:autoSpaceDN w:val="0"/>
        <w:spacing w:after="160" w:line="360" w:lineRule="auto"/>
        <w:jc w:val="both"/>
        <w:rPr>
          <w:rFonts w:ascii="Verdana" w:hAnsi="Verdana"/>
          <w:sz w:val="20"/>
          <w:szCs w:val="20"/>
        </w:rPr>
      </w:pPr>
      <w:r w:rsidRPr="005C70F2">
        <w:rPr>
          <w:rFonts w:ascii="Verdana" w:hAnsi="Verdana"/>
          <w:sz w:val="20"/>
          <w:szCs w:val="20"/>
        </w:rPr>
        <w:t>brak aktualnej koncesji na wydobycie</w:t>
      </w:r>
      <w:r>
        <w:rPr>
          <w:rFonts w:ascii="Verdana" w:hAnsi="Verdana"/>
          <w:sz w:val="20"/>
          <w:szCs w:val="20"/>
        </w:rPr>
        <w:t>;</w:t>
      </w:r>
    </w:p>
    <w:p w14:paraId="6B88388D" w14:textId="22260346" w:rsidR="005C70F2" w:rsidRPr="005C70F2" w:rsidRDefault="005C70F2" w:rsidP="005C70F2">
      <w:pPr>
        <w:numPr>
          <w:ilvl w:val="0"/>
          <w:numId w:val="3"/>
        </w:numPr>
        <w:suppressAutoHyphens/>
        <w:autoSpaceDN w:val="0"/>
        <w:spacing w:after="160" w:line="360" w:lineRule="auto"/>
        <w:jc w:val="both"/>
        <w:rPr>
          <w:rFonts w:ascii="Verdana" w:hAnsi="Verdana"/>
          <w:sz w:val="20"/>
          <w:szCs w:val="20"/>
        </w:rPr>
      </w:pPr>
      <w:r w:rsidRPr="005C70F2">
        <w:rPr>
          <w:rFonts w:ascii="Verdana" w:hAnsi="Verdana"/>
          <w:sz w:val="20"/>
          <w:szCs w:val="20"/>
        </w:rPr>
        <w:t>brak zatwierdzonego planu ruchu kopalni w likwidacji</w:t>
      </w:r>
      <w:r>
        <w:rPr>
          <w:rFonts w:ascii="Verdana" w:hAnsi="Verdana"/>
          <w:sz w:val="20"/>
          <w:szCs w:val="20"/>
        </w:rPr>
        <w:t>;</w:t>
      </w:r>
    </w:p>
    <w:p w14:paraId="63EE778D" w14:textId="05128FAF" w:rsidR="005C70F2" w:rsidRPr="005C70F2" w:rsidRDefault="005C70F2" w:rsidP="005C70F2">
      <w:pPr>
        <w:numPr>
          <w:ilvl w:val="0"/>
          <w:numId w:val="3"/>
        </w:numPr>
        <w:suppressAutoHyphens/>
        <w:autoSpaceDN w:val="0"/>
        <w:spacing w:after="160" w:line="360" w:lineRule="auto"/>
        <w:jc w:val="both"/>
        <w:rPr>
          <w:rFonts w:ascii="Verdana" w:hAnsi="Verdana"/>
          <w:sz w:val="20"/>
          <w:szCs w:val="20"/>
        </w:rPr>
      </w:pPr>
      <w:r w:rsidRPr="005C70F2">
        <w:rPr>
          <w:rFonts w:ascii="Verdana" w:hAnsi="Verdana"/>
          <w:sz w:val="20"/>
          <w:szCs w:val="20"/>
        </w:rPr>
        <w:t>brak zezwolenia na składowanie odpadów</w:t>
      </w:r>
      <w:r>
        <w:rPr>
          <w:rFonts w:ascii="Verdana" w:hAnsi="Verdana"/>
          <w:sz w:val="20"/>
          <w:szCs w:val="20"/>
        </w:rPr>
        <w:t>;</w:t>
      </w:r>
    </w:p>
    <w:p w14:paraId="4E6D3FA7" w14:textId="77777777" w:rsidR="005C70F2" w:rsidRPr="005C70F2" w:rsidRDefault="005C70F2" w:rsidP="005C70F2">
      <w:pPr>
        <w:numPr>
          <w:ilvl w:val="0"/>
          <w:numId w:val="3"/>
        </w:numPr>
        <w:suppressAutoHyphens/>
        <w:autoSpaceDN w:val="0"/>
        <w:spacing w:after="0" w:line="360" w:lineRule="auto"/>
        <w:jc w:val="both"/>
        <w:rPr>
          <w:rFonts w:ascii="Verdana" w:hAnsi="Verdana"/>
          <w:sz w:val="20"/>
          <w:szCs w:val="20"/>
        </w:rPr>
      </w:pPr>
      <w:r w:rsidRPr="005C70F2">
        <w:rPr>
          <w:rFonts w:ascii="Verdana" w:hAnsi="Verdana"/>
          <w:sz w:val="20"/>
          <w:szCs w:val="20"/>
        </w:rPr>
        <w:t>brak wymaganej dokumentacji geologicznej i ewidencji gospodarki odpadami.</w:t>
      </w:r>
      <w:r w:rsidRPr="005C70F2">
        <w:rPr>
          <w:rFonts w:ascii="Verdana" w:hAnsi="Verdana"/>
          <w:sz w:val="20"/>
          <w:szCs w:val="20"/>
        </w:rPr>
        <w:br/>
        <w:t xml:space="preserve">Kontrola potwierdziła, że na terenie zakładu znajdowały się zwałowiska odpadów ziemnych i kamiennych, nieobjęte żadnym planem technicznym ani nadzorem inżynierskim. Urząd Górniczy uznał, że przedsiębiorca ma obowiązek niezwłocznego opracowania </w:t>
      </w:r>
      <w:r w:rsidRPr="005C70F2">
        <w:rPr>
          <w:rFonts w:ascii="Verdana" w:hAnsi="Verdana"/>
          <w:b/>
          <w:bCs/>
          <w:sz w:val="20"/>
          <w:szCs w:val="20"/>
        </w:rPr>
        <w:t>planu ruchu likwidowanego zakładu</w:t>
      </w:r>
      <w:r w:rsidRPr="005C70F2">
        <w:rPr>
          <w:rFonts w:ascii="Verdana" w:hAnsi="Verdana"/>
          <w:sz w:val="20"/>
          <w:szCs w:val="20"/>
        </w:rPr>
        <w:t xml:space="preserve"> i jego zatwierdzenia przez organ nadzoru górniczego.</w:t>
      </w:r>
    </w:p>
    <w:p w14:paraId="52B5E2B1" w14:textId="77777777" w:rsidR="005C70F2" w:rsidRDefault="005C70F2" w:rsidP="005C70F2">
      <w:pPr>
        <w:spacing w:after="0" w:line="360" w:lineRule="auto"/>
        <w:rPr>
          <w:rFonts w:ascii="Verdana" w:hAnsi="Verdana"/>
          <w:sz w:val="20"/>
          <w:szCs w:val="20"/>
        </w:rPr>
      </w:pPr>
      <w:r w:rsidRPr="005C70F2">
        <w:rPr>
          <w:rFonts w:ascii="Verdana" w:hAnsi="Verdana"/>
          <w:b/>
          <w:bCs/>
          <w:sz w:val="20"/>
          <w:szCs w:val="20"/>
        </w:rPr>
        <w:t>Dzierżawa nieruchomości i nadzór właścicielski Miasta</w:t>
      </w:r>
    </w:p>
    <w:p w14:paraId="53A2C171" w14:textId="553EEDB7" w:rsidR="005C70F2" w:rsidRPr="005C70F2" w:rsidRDefault="005C70F2" w:rsidP="005C70F2">
      <w:pPr>
        <w:spacing w:after="0" w:line="360" w:lineRule="auto"/>
        <w:ind w:firstLine="708"/>
        <w:jc w:val="both"/>
        <w:rPr>
          <w:rFonts w:ascii="Verdana" w:hAnsi="Verdana"/>
          <w:sz w:val="20"/>
          <w:szCs w:val="20"/>
        </w:rPr>
      </w:pPr>
      <w:r w:rsidRPr="005C70F2">
        <w:rPr>
          <w:rFonts w:ascii="Verdana" w:hAnsi="Verdana"/>
          <w:sz w:val="20"/>
          <w:szCs w:val="20"/>
        </w:rPr>
        <w:t xml:space="preserve">Działka nr 297/1 stanowi własność Miasto Szklarska Poręba i została oddana w dzierżawę spółce IK Granit Sp. z o.o., prowadzącej dawną kopalnię </w:t>
      </w:r>
      <w:proofErr w:type="spellStart"/>
      <w:r w:rsidRPr="005C70F2">
        <w:rPr>
          <w:rFonts w:ascii="Verdana" w:hAnsi="Verdana"/>
          <w:sz w:val="20"/>
          <w:szCs w:val="20"/>
        </w:rPr>
        <w:t>Izer</w:t>
      </w:r>
      <w:proofErr w:type="spellEnd"/>
      <w:r w:rsidRPr="005C70F2">
        <w:rPr>
          <w:rFonts w:ascii="Verdana" w:hAnsi="Verdana"/>
          <w:sz w:val="20"/>
          <w:szCs w:val="20"/>
        </w:rPr>
        <w:t xml:space="preserve"> Granit. Komisja ustaliła, że pomimo upływu terminu ważności koncesji na wydobycie (30 czerwca 2022 r.), Gmina nie podjęła niezwłocznych działań w zakresie rozwiązania umowy dzierżawy ani zabezpieczenia terenu po zakończeniu działalności górniczej.</w:t>
      </w:r>
    </w:p>
    <w:p w14:paraId="6B3147E7" w14:textId="443541B8" w:rsidR="005C70F2" w:rsidRDefault="005C70F2" w:rsidP="005C70F2">
      <w:pPr>
        <w:spacing w:after="0" w:line="360" w:lineRule="auto"/>
        <w:ind w:firstLine="708"/>
        <w:jc w:val="both"/>
        <w:rPr>
          <w:rFonts w:ascii="Verdana" w:hAnsi="Verdana"/>
          <w:sz w:val="20"/>
          <w:szCs w:val="20"/>
        </w:rPr>
      </w:pPr>
      <w:r w:rsidRPr="005C70F2">
        <w:rPr>
          <w:rFonts w:ascii="Verdana" w:hAnsi="Verdana"/>
          <w:sz w:val="20"/>
          <w:szCs w:val="20"/>
        </w:rPr>
        <w:t>Miasto Szklarska Poręba przychylnie odniosła się do stanowiska zarządu spółki, który poinformował o podjęciu starań zmierzających do uzyskania nowej koncesji. Przedłużenie dotychczasowej nie było możliwe z uwagi na upływ ustawowych terminów, jednak Miasto, oczekując na decyzję organów koncesyjnych, mając przy tym świadomość długiej procedury administracyjnej, zdecydowało się na podpisanie nowej umowy, mimo zadłużenia przedsiębiorcy na ponad 280 tys. złotych.</w:t>
      </w:r>
      <w:r>
        <w:rPr>
          <w:rFonts w:ascii="Verdana" w:hAnsi="Verdana"/>
          <w:sz w:val="20"/>
          <w:szCs w:val="20"/>
        </w:rPr>
        <w:t xml:space="preserve"> </w:t>
      </w:r>
      <w:r w:rsidRPr="005C70F2">
        <w:rPr>
          <w:rFonts w:ascii="Verdana" w:hAnsi="Verdana"/>
          <w:sz w:val="20"/>
          <w:szCs w:val="20"/>
        </w:rPr>
        <w:t>Z punktu widzenia prawa, decyzja Miasta o pozostawieniu w mocy umowy dzierżawy po wygaśnięciu koncesji wydaje się być niejednoznaczna. Dzierżawa dotyczyła nieruchomości przeznaczonej na działalność górniczą, a więc – w momencie wygaśnięcia koncesji – ustała jej zasadnicza podstawa gospodarcza. Brak natychmiastowego działania ze strony właściciela (Miasta) może być postrzegany jako niedochowanie należytej staranności w zarządzaniu mieniem komunalnym, szczególnie jeśli nie zabezpieczono terenu ani nie ustalono nowego trybu użytkowania działki. Nie opracowano również odpowiedniego planu rekultywacji terenów pokopalnianych.</w:t>
      </w:r>
      <w:r>
        <w:rPr>
          <w:rFonts w:ascii="Verdana" w:hAnsi="Verdana"/>
          <w:sz w:val="20"/>
          <w:szCs w:val="20"/>
        </w:rPr>
        <w:t xml:space="preserve"> </w:t>
      </w:r>
      <w:r w:rsidRPr="005C70F2">
        <w:rPr>
          <w:rFonts w:ascii="Verdana" w:hAnsi="Verdana"/>
          <w:sz w:val="20"/>
          <w:szCs w:val="20"/>
        </w:rPr>
        <w:t>Formalnie więc decyzja o oczekiwaniu na nową koncesję bez formalnego aneksu, ograniczenia lub zawieszenia umowy, mogła naruszać zasadę racjonalnego i zgodnego z przeznaczeniem gospodarowania mieniem publicznym (art. 44 ust. 3 ustawy o finansach publicznych). W praktyce oznacza to, że Gmina przyjęła na siebie ryzyko dalszego użytkowania nieruchomości w sposób, którego legalność była niepewna. - składowanie odpadów, ruch pojazdów ciężarowych.</w:t>
      </w:r>
      <w:r>
        <w:rPr>
          <w:rFonts w:ascii="Verdana" w:hAnsi="Verdana"/>
          <w:sz w:val="20"/>
          <w:szCs w:val="20"/>
        </w:rPr>
        <w:t xml:space="preserve"> </w:t>
      </w:r>
      <w:r w:rsidRPr="005C70F2">
        <w:rPr>
          <w:rFonts w:ascii="Verdana" w:hAnsi="Verdana"/>
          <w:sz w:val="20"/>
          <w:szCs w:val="20"/>
        </w:rPr>
        <w:t xml:space="preserve">Z drugiej strony, z perspektywy </w:t>
      </w:r>
      <w:r w:rsidRPr="005C70F2">
        <w:rPr>
          <w:rFonts w:ascii="Verdana" w:hAnsi="Verdana"/>
          <w:sz w:val="20"/>
          <w:szCs w:val="20"/>
        </w:rPr>
        <w:lastRenderedPageBreak/>
        <w:t>społecznej, decyzja Miasta mogła wynikać z chęci utrzymania dobrych relacji z lokalnym przedsiębiorcą, który przez lata angażował się w życie miasta. Kopalnia „</w:t>
      </w:r>
      <w:proofErr w:type="spellStart"/>
      <w:r w:rsidRPr="005C70F2">
        <w:rPr>
          <w:rFonts w:ascii="Verdana" w:hAnsi="Verdana"/>
          <w:sz w:val="20"/>
          <w:szCs w:val="20"/>
        </w:rPr>
        <w:t>Izer</w:t>
      </w:r>
      <w:proofErr w:type="spellEnd"/>
      <w:r>
        <w:rPr>
          <w:rFonts w:ascii="Verdana" w:hAnsi="Verdana"/>
          <w:sz w:val="20"/>
          <w:szCs w:val="20"/>
        </w:rPr>
        <w:t xml:space="preserve"> </w:t>
      </w:r>
      <w:r w:rsidRPr="005C70F2">
        <w:rPr>
          <w:rFonts w:ascii="Verdana" w:hAnsi="Verdana"/>
          <w:sz w:val="20"/>
          <w:szCs w:val="20"/>
        </w:rPr>
        <w:t>Granit” była obecna w świadomości mieszkańców nie tylko jako zakład pracy, ale także jako partner w przedsięwzięciach kulturalnych i promocyjnych (m.in. „Projekt 100 ton”). W lokalnym wymiarze mogło to rodzić nadzieję, że wznowienie legalnej działalności przyniesie korzyści – miejsca pracy, wpływy z podatków, wsparcie dla wydarzeń miejskich.</w:t>
      </w:r>
    </w:p>
    <w:p w14:paraId="505A2A9C" w14:textId="2815E650" w:rsidR="005C70F2" w:rsidRPr="005C70F2" w:rsidRDefault="005C70F2" w:rsidP="005C70F2">
      <w:pPr>
        <w:spacing w:after="0" w:line="360" w:lineRule="auto"/>
        <w:ind w:firstLine="708"/>
        <w:jc w:val="both"/>
        <w:rPr>
          <w:rFonts w:ascii="Verdana" w:hAnsi="Verdana"/>
          <w:sz w:val="20"/>
          <w:szCs w:val="20"/>
        </w:rPr>
      </w:pPr>
      <w:r w:rsidRPr="005C70F2">
        <w:rPr>
          <w:rFonts w:ascii="Verdana" w:hAnsi="Verdana"/>
          <w:sz w:val="20"/>
          <w:szCs w:val="20"/>
        </w:rPr>
        <w:t>Z tej perspektywy można uznać, że decyzja o niepodejmowaniu radykalnych kroków (jak rozwiązanie umowy czy natychmiastowe zamknięcie terenu) była kompromisem między formalnym rygorem prawa a pragmatyką lokalnej współpracy. Problem w tym, że taka postawa – nawet jeśli intencje były dobre – doprowadziła do sytuacji zawieszenia prawnego, w której gmina faktycznie tolerowała użytkowanie swojego mienia bez ważnej podstawy koncesyjnej. Stwarzając tym samym prawny paradoks, gdyż tolerowano trwanie umowy, której warunkiem koniecznym było posiadanie przez przedsiębiorcę aktualnej ciągłej koncesji.</w:t>
      </w:r>
    </w:p>
    <w:p w14:paraId="6AD80D76" w14:textId="77777777" w:rsidR="005C70F2" w:rsidRDefault="005C70F2" w:rsidP="005C70F2">
      <w:pPr>
        <w:spacing w:after="0" w:line="360" w:lineRule="auto"/>
        <w:ind w:firstLine="708"/>
        <w:jc w:val="both"/>
        <w:rPr>
          <w:rFonts w:ascii="Verdana" w:hAnsi="Verdana"/>
          <w:sz w:val="20"/>
          <w:szCs w:val="20"/>
        </w:rPr>
      </w:pPr>
      <w:r w:rsidRPr="005C70F2">
        <w:rPr>
          <w:rFonts w:ascii="Verdana" w:hAnsi="Verdana"/>
          <w:sz w:val="20"/>
          <w:szCs w:val="20"/>
        </w:rPr>
        <w:t xml:space="preserve">Ważnym elementem tej sytuacji jest również fakt, że zadłużenie spółki wobec Miasta zostało rozłożone na </w:t>
      </w:r>
      <w:r w:rsidRPr="005C70F2">
        <w:rPr>
          <w:rFonts w:ascii="Verdana" w:hAnsi="Verdana"/>
          <w:b/>
          <w:bCs/>
          <w:sz w:val="20"/>
          <w:szCs w:val="20"/>
        </w:rPr>
        <w:t>nieoprocentowane raty</w:t>
      </w:r>
      <w:r w:rsidRPr="005C70F2">
        <w:rPr>
          <w:rFonts w:ascii="Verdana" w:hAnsi="Verdana"/>
          <w:sz w:val="20"/>
          <w:szCs w:val="20"/>
        </w:rPr>
        <w:t xml:space="preserve">, co w praktyce oznaczało rezygnację gminy z jakichkolwiek finansowych instrumentów dyscyplinujących dzierżawcę. Taka decyzja mogła zostać odebrana przez mieszkańców jako przejaw </w:t>
      </w:r>
      <w:r w:rsidRPr="005C70F2">
        <w:rPr>
          <w:rFonts w:ascii="Verdana" w:hAnsi="Verdana"/>
          <w:b/>
          <w:bCs/>
          <w:sz w:val="20"/>
          <w:szCs w:val="20"/>
        </w:rPr>
        <w:t>przywilejowego traktowania</w:t>
      </w:r>
      <w:r w:rsidRPr="005C70F2">
        <w:rPr>
          <w:rFonts w:ascii="Verdana" w:hAnsi="Verdana"/>
          <w:sz w:val="20"/>
          <w:szCs w:val="20"/>
        </w:rPr>
        <w:t xml:space="preserve"> przedsiębiorcy działającego na terenie miasta. Nie dopilnowano również spełnienia w terminie innych warunków umowy zabezpieczających interes miasta; w tym: wpłatę kaucji, dostarczenie aktu notarialnego dotyczącego poddania się egzekucji, zawarcia wymaganych ubezpieczeń. To wszystko mogło doprowadzić do powstania następnych wymagalnych należności w kwocie przekraczającej 1 mln. czterysta tysięcy złotych, których miasto nie dochodziło od przedsiębiorcy. Potwierdzeniem tego faktu obecnie zajmuje się Rzecznik Dyscypliny Finansów w piśmie z dnia 02.10.2025 </w:t>
      </w:r>
      <w:r>
        <w:rPr>
          <w:rFonts w:ascii="Verdana" w:hAnsi="Verdana"/>
          <w:sz w:val="20"/>
          <w:szCs w:val="20"/>
        </w:rPr>
        <w:t xml:space="preserve">r. </w:t>
      </w:r>
      <w:r w:rsidRPr="005C70F2">
        <w:rPr>
          <w:rFonts w:ascii="Verdana" w:hAnsi="Verdana"/>
          <w:sz w:val="20"/>
          <w:szCs w:val="20"/>
        </w:rPr>
        <w:t>Od strony społecznej, postawa Miasta mogła wynikać z długoletnich relacji ze spółką, która aktywnie uczestniczyła w życiu miasta.</w:t>
      </w:r>
      <w:r>
        <w:rPr>
          <w:rFonts w:ascii="Verdana" w:hAnsi="Verdana"/>
          <w:sz w:val="20"/>
          <w:szCs w:val="20"/>
        </w:rPr>
        <w:t xml:space="preserve"> </w:t>
      </w:r>
      <w:r w:rsidRPr="005C70F2">
        <w:rPr>
          <w:rFonts w:ascii="Verdana" w:hAnsi="Verdana"/>
          <w:sz w:val="20"/>
          <w:szCs w:val="20"/>
        </w:rPr>
        <w:t xml:space="preserve">Jednocześnie z perspektywy transparentności i równego traktowania podmiotów gospodarczych, taka postawa mogła zostać odebrana jako </w:t>
      </w:r>
      <w:r w:rsidRPr="005C70F2">
        <w:rPr>
          <w:rFonts w:ascii="Verdana" w:hAnsi="Verdana"/>
          <w:b/>
          <w:bCs/>
          <w:sz w:val="20"/>
          <w:szCs w:val="20"/>
        </w:rPr>
        <w:t>zbyt pobłażliwa</w:t>
      </w:r>
      <w:r w:rsidRPr="005C70F2">
        <w:rPr>
          <w:rFonts w:ascii="Verdana" w:hAnsi="Verdana"/>
          <w:sz w:val="20"/>
          <w:szCs w:val="20"/>
        </w:rPr>
        <w:t xml:space="preserve"> i podważająca zasadę równości stron wobec prawa. W praktyce oznaczała bowiem tolerowanie sytuacji, w której przedsiębiorca korzystał z mienia publicznego na uprzywilejowanych warunkach, mimo braku wymaganych pozwoleń i powstania zaległości finansowych wobec Miasta.</w:t>
      </w:r>
      <w:r>
        <w:rPr>
          <w:rFonts w:ascii="Verdana" w:hAnsi="Verdana"/>
          <w:sz w:val="20"/>
          <w:szCs w:val="20"/>
        </w:rPr>
        <w:t xml:space="preserve"> </w:t>
      </w:r>
    </w:p>
    <w:p w14:paraId="79B28771" w14:textId="77777777" w:rsidR="005C70F2" w:rsidRDefault="005C70F2" w:rsidP="005C70F2">
      <w:pPr>
        <w:spacing w:after="0" w:line="360" w:lineRule="auto"/>
        <w:ind w:firstLine="708"/>
        <w:jc w:val="both"/>
        <w:rPr>
          <w:rFonts w:ascii="Verdana" w:hAnsi="Verdana"/>
          <w:sz w:val="20"/>
          <w:szCs w:val="20"/>
        </w:rPr>
      </w:pPr>
      <w:r w:rsidRPr="005C70F2">
        <w:rPr>
          <w:rFonts w:ascii="Verdana" w:hAnsi="Verdana"/>
          <w:sz w:val="20"/>
          <w:szCs w:val="20"/>
        </w:rPr>
        <w:t xml:space="preserve">Komisja ustaliła, że na terenie dawnej kopalni, w obrębie działki nr 297/1, posadowiono obiekty przeznaczone do obróbki kamienia bez wymaganego zezwolenia budowlanego oraz bez uzgodnień środowiskowych. Ustalono, że infrastruktura techniczna – w tym urządzenia do cięcia i sortowania urobku – została wzniesiona i użytkowana pomimo braku decyzji administracyjnych dopuszczających tego rodzaju zabudowę. Prowadziło to do generowania uciążliwego hałasu, na który zwracali uwagę okoliczni </w:t>
      </w:r>
      <w:r w:rsidRPr="005C70F2">
        <w:rPr>
          <w:rFonts w:ascii="Verdana" w:hAnsi="Verdana"/>
          <w:sz w:val="20"/>
          <w:szCs w:val="20"/>
        </w:rPr>
        <w:lastRenderedPageBreak/>
        <w:t>mieszkańcy.</w:t>
      </w:r>
      <w:r>
        <w:rPr>
          <w:rFonts w:ascii="Verdana" w:hAnsi="Verdana"/>
          <w:sz w:val="20"/>
          <w:szCs w:val="20"/>
        </w:rPr>
        <w:t xml:space="preserve"> </w:t>
      </w:r>
      <w:r w:rsidRPr="005C70F2">
        <w:rPr>
          <w:rFonts w:ascii="Verdana" w:hAnsi="Verdana"/>
          <w:sz w:val="20"/>
          <w:szCs w:val="20"/>
        </w:rPr>
        <w:t xml:space="preserve">Z informacji uzyskanych z dokumentacji urzędowej wynika, że obowiązek sporządzenia raportu o oddziaływaniu na środowisko dla przedsięwzięcia „Eksploatacja i przeróbka kamienia – złoże granitu Szklarska Poręba Huta” został nałożony przez Gminę w 2021 roku, natomiast sam raport opracowano dopiero w 2022 roku, już po stwierdzeniu części nieprawidłowości. </w:t>
      </w:r>
      <w:bookmarkStart w:id="1" w:name="_Hlk212027892"/>
      <w:r w:rsidRPr="005C70F2">
        <w:rPr>
          <w:rFonts w:ascii="Verdana" w:hAnsi="Verdana"/>
          <w:sz w:val="20"/>
          <w:szCs w:val="20"/>
        </w:rPr>
        <w:t xml:space="preserve">Komisja uznaje za petycję za zasadną w zakresie konieczności oceny działalności burmistrza odnośnie nadzoru nad działalnością kopalni </w:t>
      </w:r>
      <w:proofErr w:type="spellStart"/>
      <w:r w:rsidRPr="005C70F2">
        <w:rPr>
          <w:rFonts w:ascii="Verdana" w:hAnsi="Verdana"/>
          <w:sz w:val="20"/>
          <w:szCs w:val="20"/>
        </w:rPr>
        <w:t>Izer</w:t>
      </w:r>
      <w:proofErr w:type="spellEnd"/>
      <w:r w:rsidRPr="005C70F2">
        <w:rPr>
          <w:rFonts w:ascii="Verdana" w:hAnsi="Verdana"/>
          <w:sz w:val="20"/>
          <w:szCs w:val="20"/>
        </w:rPr>
        <w:t xml:space="preserve"> Granit. </w:t>
      </w:r>
      <w:bookmarkEnd w:id="1"/>
    </w:p>
    <w:p w14:paraId="4D8ABA77" w14:textId="475A9929" w:rsidR="005C70F2" w:rsidRPr="005C70F2" w:rsidRDefault="005C70F2" w:rsidP="005C70F2">
      <w:pPr>
        <w:spacing w:after="0" w:line="360" w:lineRule="auto"/>
        <w:ind w:firstLine="708"/>
        <w:jc w:val="both"/>
        <w:rPr>
          <w:rFonts w:ascii="Verdana" w:hAnsi="Verdana"/>
          <w:sz w:val="20"/>
          <w:szCs w:val="20"/>
        </w:rPr>
      </w:pPr>
      <w:r w:rsidRPr="005C70F2">
        <w:rPr>
          <w:rFonts w:ascii="Verdana" w:hAnsi="Verdana"/>
          <w:sz w:val="20"/>
          <w:szCs w:val="20"/>
        </w:rPr>
        <w:t xml:space="preserve">W tym stanie rzeczy, wobec wskazanych wyżej faktów, nadzór właścicielski należy uznać za niewystarczający, w związku z brakiem przestrzegania zapisów i rygorów umowy z dnia 14 kwietnia 2024. </w:t>
      </w:r>
      <w:r>
        <w:rPr>
          <w:rFonts w:ascii="Verdana" w:hAnsi="Verdana"/>
          <w:sz w:val="20"/>
          <w:szCs w:val="20"/>
        </w:rPr>
        <w:t xml:space="preserve"> </w:t>
      </w:r>
      <w:r w:rsidRPr="005C70F2">
        <w:rPr>
          <w:rFonts w:ascii="Verdana" w:hAnsi="Verdana"/>
          <w:sz w:val="20"/>
          <w:szCs w:val="20"/>
        </w:rPr>
        <w:t xml:space="preserve">Komisja zwraca się z sugestią o podjęcie pilnych działań mających na celu egzekwowanie zapisów zawartych w umowie dzierżawy jak również wprowadzenie w życie deklaracji dzierżawcy odnośnie ograniczenia wpływu kopalni na komfort życia mieszkańców oraz jej wpływu na środowisko, przede wszystkimi minimalizację hałasu i ograniczenia uciążliwości potencjalnego ruchu ciężarowego. </w:t>
      </w:r>
      <w:r>
        <w:rPr>
          <w:rFonts w:ascii="Verdana" w:hAnsi="Verdana"/>
          <w:sz w:val="20"/>
          <w:szCs w:val="20"/>
        </w:rPr>
        <w:t xml:space="preserve"> </w:t>
      </w:r>
      <w:r w:rsidRPr="005C70F2">
        <w:rPr>
          <w:rFonts w:ascii="Verdana" w:hAnsi="Verdana"/>
          <w:sz w:val="20"/>
          <w:szCs w:val="20"/>
        </w:rPr>
        <w:t xml:space="preserve">Niewyrażenie zgodny na legalizację obiektów do obróbki kamienia w obecnej lokalizacji i doprowadzenie do usytuowania ich w miejscu oddalonych od zabudowań zgodnie z deklaracja dzierżawcy, w głąb wyrobiska. Ponadto zasadnym jest zobowiązanie dzierżawcy do wybudowania ekranów dźwiękochłonnych w oparciu o analizę poziomu hałasu. </w:t>
      </w:r>
    </w:p>
    <w:p w14:paraId="5E204125" w14:textId="77777777" w:rsidR="005C70F2" w:rsidRPr="005C70F2" w:rsidRDefault="005C70F2" w:rsidP="005C70F2">
      <w:pPr>
        <w:rPr>
          <w:rFonts w:ascii="Verdana" w:hAnsi="Verdana"/>
          <w:sz w:val="20"/>
          <w:szCs w:val="20"/>
        </w:rPr>
      </w:pPr>
    </w:p>
    <w:p w14:paraId="16700116" w14:textId="77777777" w:rsidR="005C70F2" w:rsidRPr="005C70F2" w:rsidRDefault="005C70F2" w:rsidP="005C70F2">
      <w:pPr>
        <w:rPr>
          <w:rFonts w:ascii="Verdana" w:hAnsi="Verdana"/>
          <w:sz w:val="20"/>
          <w:szCs w:val="20"/>
        </w:rPr>
      </w:pPr>
    </w:p>
    <w:p w14:paraId="5216879A" w14:textId="61E657E5" w:rsidR="005C70F2" w:rsidRPr="005C70F2" w:rsidRDefault="005C70F2" w:rsidP="005C70F2">
      <w:pPr>
        <w:rPr>
          <w:rFonts w:ascii="Verdana" w:hAnsi="Verdana"/>
          <w:sz w:val="20"/>
          <w:szCs w:val="20"/>
        </w:rPr>
      </w:pPr>
    </w:p>
    <w:p w14:paraId="68759C2D" w14:textId="455CFAE2" w:rsidR="00BC7488" w:rsidRPr="005C70F2" w:rsidRDefault="00BC7488" w:rsidP="005C70F2">
      <w:pPr>
        <w:pStyle w:val="Default"/>
        <w:spacing w:line="360" w:lineRule="auto"/>
        <w:jc w:val="both"/>
        <w:rPr>
          <w:rFonts w:ascii="Verdana" w:hAnsi="Verdana"/>
          <w:sz w:val="20"/>
          <w:szCs w:val="20"/>
        </w:rPr>
      </w:pPr>
    </w:p>
    <w:p w14:paraId="0506992C" w14:textId="77777777" w:rsidR="009F38E6" w:rsidRPr="005C70F2" w:rsidRDefault="009F38E6" w:rsidP="009F38E6">
      <w:pPr>
        <w:rPr>
          <w:rFonts w:ascii="Verdana" w:hAnsi="Verdana"/>
          <w:sz w:val="20"/>
          <w:szCs w:val="20"/>
        </w:rPr>
      </w:pPr>
    </w:p>
    <w:sectPr w:rsidR="009F38E6" w:rsidRPr="005C70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C3222"/>
    <w:multiLevelType w:val="multilevel"/>
    <w:tmpl w:val="55B0D166"/>
    <w:lvl w:ilvl="0">
      <w:start w:val="1"/>
      <w:numFmt w:val="decimal"/>
      <w:lvlText w:val="%1)"/>
      <w:lvlJc w:val="left"/>
      <w:pPr>
        <w:ind w:left="720" w:hanging="360"/>
      </w:pPr>
      <w:rPr>
        <w:rFonts w:ascii="Verdana" w:eastAsiaTheme="minorHAnsi" w:hAnsi="Verdana" w:cstheme="minorBidi"/>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5AA36738"/>
    <w:multiLevelType w:val="hybridMultilevel"/>
    <w:tmpl w:val="38EAEB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37A1B90"/>
    <w:multiLevelType w:val="hybridMultilevel"/>
    <w:tmpl w:val="C178AA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CC76810"/>
    <w:multiLevelType w:val="multilevel"/>
    <w:tmpl w:val="B7B66B10"/>
    <w:lvl w:ilvl="0">
      <w:start w:val="1"/>
      <w:numFmt w:val="decimal"/>
      <w:lvlText w:val="%1)"/>
      <w:lvlJc w:val="left"/>
      <w:pPr>
        <w:ind w:left="720" w:hanging="360"/>
      </w:pPr>
      <w:rPr>
        <w:rFonts w:ascii="Verdana" w:eastAsiaTheme="minorHAnsi" w:hAnsi="Verdana" w:cstheme="minorBidi"/>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967002033">
    <w:abstractNumId w:val="1"/>
  </w:num>
  <w:num w:numId="2" w16cid:durableId="145054897">
    <w:abstractNumId w:val="3"/>
  </w:num>
  <w:num w:numId="3" w16cid:durableId="1320383477">
    <w:abstractNumId w:val="0"/>
  </w:num>
  <w:num w:numId="4" w16cid:durableId="2077120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91C"/>
    <w:rsid w:val="00154F9A"/>
    <w:rsid w:val="00243CC7"/>
    <w:rsid w:val="0037048A"/>
    <w:rsid w:val="00371D62"/>
    <w:rsid w:val="00422367"/>
    <w:rsid w:val="00477CA8"/>
    <w:rsid w:val="0051091B"/>
    <w:rsid w:val="005449A6"/>
    <w:rsid w:val="00563516"/>
    <w:rsid w:val="005C70F2"/>
    <w:rsid w:val="005F7649"/>
    <w:rsid w:val="00614328"/>
    <w:rsid w:val="006F534B"/>
    <w:rsid w:val="00700511"/>
    <w:rsid w:val="00763DBE"/>
    <w:rsid w:val="0082191C"/>
    <w:rsid w:val="00892DB9"/>
    <w:rsid w:val="009F38E6"/>
    <w:rsid w:val="009F405A"/>
    <w:rsid w:val="00B153BE"/>
    <w:rsid w:val="00B24445"/>
    <w:rsid w:val="00B2582E"/>
    <w:rsid w:val="00B4283F"/>
    <w:rsid w:val="00B663B4"/>
    <w:rsid w:val="00BC7488"/>
    <w:rsid w:val="00C9418F"/>
    <w:rsid w:val="00CE1AA3"/>
    <w:rsid w:val="00EB578F"/>
    <w:rsid w:val="00EC69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73808"/>
  <w15:docId w15:val="{7FF9B1C2-EB55-4355-8F4F-24DF38EA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54F9A"/>
    <w:pPr>
      <w:autoSpaceDE w:val="0"/>
      <w:autoSpaceDN w:val="0"/>
      <w:adjustRightInd w:val="0"/>
      <w:spacing w:after="0" w:line="240" w:lineRule="auto"/>
    </w:pPr>
    <w:rPr>
      <w:rFonts w:ascii="Garamond" w:hAnsi="Garamond" w:cs="Garamond"/>
      <w:color w:val="000000"/>
      <w:sz w:val="24"/>
      <w:szCs w:val="24"/>
    </w:rPr>
  </w:style>
  <w:style w:type="paragraph" w:styleId="Akapitzlist">
    <w:name w:val="List Paragraph"/>
    <w:basedOn w:val="Normalny"/>
    <w:qFormat/>
    <w:rsid w:val="00B24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1533</Words>
  <Characters>9202</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Joanna Cirko</cp:lastModifiedBy>
  <cp:revision>25</cp:revision>
  <cp:lastPrinted>2025-10-08T07:52:00Z</cp:lastPrinted>
  <dcterms:created xsi:type="dcterms:W3CDTF">2025-10-03T11:12:00Z</dcterms:created>
  <dcterms:modified xsi:type="dcterms:W3CDTF">2025-10-29T12:51:00Z</dcterms:modified>
</cp:coreProperties>
</file>