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3E" w:rsidRDefault="001C5692" w:rsidP="0045335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  <w:r w:rsidR="0045335A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        </w:t>
      </w:r>
      <w:r w:rsidR="00AC5983">
        <w:rPr>
          <w:rFonts w:ascii="Verdana" w:hAnsi="Verdana"/>
          <w:sz w:val="20"/>
          <w:szCs w:val="20"/>
        </w:rPr>
        <w:t xml:space="preserve">       </w:t>
      </w:r>
      <w:r w:rsidR="00AC5983" w:rsidRPr="00AC5983">
        <w:rPr>
          <w:rFonts w:ascii="Verdana" w:hAnsi="Verdana"/>
          <w:sz w:val="16"/>
          <w:szCs w:val="16"/>
        </w:rPr>
        <w:t>Za</w:t>
      </w:r>
      <w:r w:rsidR="00AC5983">
        <w:rPr>
          <w:rFonts w:ascii="Verdana" w:hAnsi="Verdana"/>
          <w:sz w:val="16"/>
          <w:szCs w:val="16"/>
        </w:rPr>
        <w:t>łącznik</w:t>
      </w:r>
      <w:r w:rsidR="00AC5983" w:rsidRPr="00AC5983">
        <w:rPr>
          <w:rFonts w:ascii="Verdana" w:hAnsi="Verdana"/>
          <w:sz w:val="16"/>
          <w:szCs w:val="16"/>
        </w:rPr>
        <w:t xml:space="preserve"> nr </w:t>
      </w:r>
      <w:r w:rsidR="008F057F">
        <w:rPr>
          <w:rFonts w:ascii="Verdana" w:hAnsi="Verdana"/>
          <w:sz w:val="16"/>
          <w:szCs w:val="16"/>
        </w:rPr>
        <w:t>3</w:t>
      </w:r>
      <w:r w:rsidR="000B4496">
        <w:rPr>
          <w:rFonts w:ascii="Verdana" w:hAnsi="Verdana"/>
          <w:sz w:val="16"/>
          <w:szCs w:val="16"/>
        </w:rPr>
        <w:t xml:space="preserve"> </w:t>
      </w:r>
      <w:r w:rsidR="00713F3A">
        <w:rPr>
          <w:rFonts w:ascii="Verdana" w:hAnsi="Verdana"/>
          <w:sz w:val="16"/>
          <w:szCs w:val="16"/>
        </w:rPr>
        <w:t xml:space="preserve">do </w:t>
      </w:r>
      <w:r w:rsidR="00E4283B">
        <w:rPr>
          <w:rFonts w:ascii="Verdana" w:hAnsi="Verdana"/>
          <w:sz w:val="16"/>
          <w:szCs w:val="16"/>
        </w:rPr>
        <w:t xml:space="preserve">Uchwały nr </w:t>
      </w:r>
      <w:r w:rsidR="000A65AA">
        <w:rPr>
          <w:rFonts w:ascii="Verdana" w:hAnsi="Verdana"/>
          <w:sz w:val="16"/>
          <w:szCs w:val="16"/>
        </w:rPr>
        <w:t>………………………</w:t>
      </w:r>
    </w:p>
    <w:p w:rsidR="00EF570B" w:rsidRDefault="0071593E" w:rsidP="0071593E">
      <w:pPr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EF570B">
        <w:rPr>
          <w:rFonts w:ascii="Verdana" w:hAnsi="Verdana"/>
          <w:sz w:val="16"/>
          <w:szCs w:val="16"/>
        </w:rPr>
        <w:t>Rady Miejskiej w Szklarskiej Porębie</w:t>
      </w:r>
      <w:r w:rsidR="00B812D7">
        <w:rPr>
          <w:rFonts w:ascii="Verdana" w:hAnsi="Verdana"/>
          <w:sz w:val="16"/>
          <w:szCs w:val="16"/>
        </w:rPr>
        <w:t xml:space="preserve"> </w:t>
      </w:r>
    </w:p>
    <w:p w:rsidR="00AC5983" w:rsidRDefault="00EF570B" w:rsidP="00713F3A">
      <w:pPr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AF66FC">
        <w:rPr>
          <w:rFonts w:ascii="Verdana" w:hAnsi="Verdana"/>
          <w:sz w:val="16"/>
          <w:szCs w:val="16"/>
        </w:rPr>
        <w:t xml:space="preserve">z dnia </w:t>
      </w:r>
      <w:r w:rsidR="00E4283B">
        <w:rPr>
          <w:rFonts w:ascii="Verdana" w:hAnsi="Verdana"/>
          <w:sz w:val="16"/>
          <w:szCs w:val="16"/>
        </w:rPr>
        <w:t>……</w:t>
      </w:r>
      <w:r w:rsidR="00713F3A">
        <w:rPr>
          <w:rFonts w:ascii="Verdana" w:hAnsi="Verdana"/>
          <w:sz w:val="16"/>
          <w:szCs w:val="16"/>
        </w:rPr>
        <w:t>………………</w:t>
      </w:r>
    </w:p>
    <w:p w:rsidR="00C507B0" w:rsidRDefault="00C507B0" w:rsidP="00C507B0">
      <w:pPr>
        <w:jc w:val="center"/>
        <w:rPr>
          <w:rFonts w:ascii="Verdana" w:hAnsi="Verdana"/>
          <w:sz w:val="16"/>
          <w:szCs w:val="16"/>
        </w:rPr>
      </w:pPr>
    </w:p>
    <w:p w:rsidR="00AC5983" w:rsidRDefault="00AC5983" w:rsidP="00AC5983">
      <w:pPr>
        <w:rPr>
          <w:rFonts w:ascii="Verdana" w:hAnsi="Verdana"/>
          <w:sz w:val="16"/>
          <w:szCs w:val="16"/>
        </w:rPr>
      </w:pPr>
    </w:p>
    <w:p w:rsidR="0045494C" w:rsidRDefault="0045494C" w:rsidP="00D9459A">
      <w:pPr>
        <w:jc w:val="center"/>
        <w:rPr>
          <w:rFonts w:ascii="Verdana" w:hAnsi="Verdana"/>
          <w:b/>
          <w:sz w:val="22"/>
          <w:szCs w:val="22"/>
        </w:rPr>
      </w:pPr>
    </w:p>
    <w:p w:rsidR="00D9459A" w:rsidRDefault="00A3330C" w:rsidP="000A65AA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C5983">
        <w:rPr>
          <w:rFonts w:ascii="Verdana" w:hAnsi="Verdana"/>
          <w:b/>
          <w:sz w:val="22"/>
          <w:szCs w:val="22"/>
        </w:rPr>
        <w:t>Objaśnienia do Wieloletniej Prognozy Finansowej</w:t>
      </w:r>
    </w:p>
    <w:p w:rsidR="00A3330C" w:rsidRDefault="00A3330C" w:rsidP="000A65AA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C5983">
        <w:rPr>
          <w:rFonts w:ascii="Verdana" w:hAnsi="Verdana"/>
          <w:b/>
          <w:sz w:val="22"/>
          <w:szCs w:val="22"/>
        </w:rPr>
        <w:t xml:space="preserve"> Miasta Szklarska Por</w:t>
      </w:r>
      <w:r w:rsidR="00AB17C8">
        <w:rPr>
          <w:rFonts w:ascii="Verdana" w:hAnsi="Verdana"/>
          <w:b/>
          <w:sz w:val="22"/>
          <w:szCs w:val="22"/>
        </w:rPr>
        <w:t>ę</w:t>
      </w:r>
      <w:r w:rsidRPr="00AC5983">
        <w:rPr>
          <w:rFonts w:ascii="Verdana" w:hAnsi="Verdana"/>
          <w:b/>
          <w:sz w:val="22"/>
          <w:szCs w:val="22"/>
        </w:rPr>
        <w:t>ba</w:t>
      </w:r>
    </w:p>
    <w:p w:rsidR="0045494C" w:rsidRDefault="0045494C" w:rsidP="000A65AA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A3330C" w:rsidRPr="004B7676" w:rsidRDefault="00A3330C" w:rsidP="000A65A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Założenia do W</w:t>
      </w:r>
      <w:r w:rsidR="00E2264B">
        <w:rPr>
          <w:rFonts w:ascii="Verdana" w:hAnsi="Verdana"/>
          <w:sz w:val="20"/>
          <w:szCs w:val="20"/>
        </w:rPr>
        <w:t xml:space="preserve">ieloletniej </w:t>
      </w:r>
      <w:r>
        <w:rPr>
          <w:rFonts w:ascii="Verdana" w:hAnsi="Verdana"/>
          <w:sz w:val="20"/>
          <w:szCs w:val="20"/>
        </w:rPr>
        <w:t>P</w:t>
      </w:r>
      <w:r w:rsidR="00E2264B">
        <w:rPr>
          <w:rFonts w:ascii="Verdana" w:hAnsi="Verdana"/>
          <w:sz w:val="20"/>
          <w:szCs w:val="20"/>
        </w:rPr>
        <w:t xml:space="preserve">rognozy </w:t>
      </w:r>
      <w:r>
        <w:rPr>
          <w:rFonts w:ascii="Verdana" w:hAnsi="Verdana"/>
          <w:sz w:val="20"/>
          <w:szCs w:val="20"/>
        </w:rPr>
        <w:t>F</w:t>
      </w:r>
      <w:r w:rsidR="00E2264B">
        <w:rPr>
          <w:rFonts w:ascii="Verdana" w:hAnsi="Verdana"/>
          <w:sz w:val="20"/>
          <w:szCs w:val="20"/>
        </w:rPr>
        <w:t>inansowej</w:t>
      </w:r>
      <w:r>
        <w:rPr>
          <w:rFonts w:ascii="Verdana" w:hAnsi="Verdana"/>
          <w:sz w:val="20"/>
          <w:szCs w:val="20"/>
        </w:rPr>
        <w:t xml:space="preserve"> Miast</w:t>
      </w:r>
      <w:r w:rsidR="009315C5">
        <w:rPr>
          <w:rFonts w:ascii="Verdana" w:hAnsi="Verdana"/>
          <w:sz w:val="20"/>
          <w:szCs w:val="20"/>
        </w:rPr>
        <w:t>a</w:t>
      </w:r>
      <w:r w:rsidR="00FE05A6">
        <w:rPr>
          <w:rFonts w:ascii="Verdana" w:hAnsi="Verdana"/>
          <w:sz w:val="20"/>
          <w:szCs w:val="20"/>
        </w:rPr>
        <w:t xml:space="preserve"> Szklarskiej Poręby na lata 202</w:t>
      </w:r>
      <w:r w:rsidR="000A65AA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-20</w:t>
      </w:r>
      <w:r w:rsidR="000A65AA">
        <w:rPr>
          <w:rFonts w:ascii="Verdana" w:hAnsi="Verdana"/>
          <w:sz w:val="20"/>
          <w:szCs w:val="20"/>
        </w:rPr>
        <w:t>31</w:t>
      </w:r>
      <w:r w:rsidR="00E2264B">
        <w:rPr>
          <w:rFonts w:ascii="Verdana" w:hAnsi="Verdana"/>
          <w:sz w:val="20"/>
          <w:szCs w:val="20"/>
        </w:rPr>
        <w:t xml:space="preserve"> zostały opracowane </w:t>
      </w:r>
      <w:r>
        <w:rPr>
          <w:rFonts w:ascii="Verdana" w:hAnsi="Verdana"/>
          <w:sz w:val="20"/>
          <w:szCs w:val="20"/>
        </w:rPr>
        <w:t>w oparciu o zapisy art. 226 ustawy o finansach publicznych z dnia 27 sierpnia 2009 r. (</w:t>
      </w:r>
      <w:r w:rsidR="00733163">
        <w:rPr>
          <w:rFonts w:ascii="Verdana" w:hAnsi="Verdana"/>
          <w:sz w:val="20"/>
          <w:szCs w:val="20"/>
        </w:rPr>
        <w:t>t.</w:t>
      </w:r>
      <w:r w:rsidR="000A65AA">
        <w:rPr>
          <w:rFonts w:ascii="Verdana" w:hAnsi="Verdana"/>
          <w:sz w:val="20"/>
          <w:szCs w:val="20"/>
        </w:rPr>
        <w:t xml:space="preserve"> </w:t>
      </w:r>
      <w:r w:rsidR="00733163">
        <w:rPr>
          <w:rFonts w:ascii="Verdana" w:hAnsi="Verdana"/>
          <w:sz w:val="20"/>
          <w:szCs w:val="20"/>
        </w:rPr>
        <w:t xml:space="preserve">j. </w:t>
      </w:r>
      <w:r>
        <w:rPr>
          <w:rFonts w:ascii="Verdana" w:hAnsi="Verdana"/>
          <w:sz w:val="20"/>
          <w:szCs w:val="20"/>
        </w:rPr>
        <w:t>Dz. U. z 20</w:t>
      </w:r>
      <w:r w:rsidR="00E4283B">
        <w:rPr>
          <w:rFonts w:ascii="Verdana" w:hAnsi="Verdana"/>
          <w:sz w:val="20"/>
          <w:szCs w:val="20"/>
        </w:rPr>
        <w:t>2</w:t>
      </w:r>
      <w:r w:rsidR="000A65A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 poz. </w:t>
      </w:r>
      <w:r w:rsidR="00E4283B">
        <w:rPr>
          <w:rFonts w:ascii="Verdana" w:hAnsi="Verdana"/>
          <w:sz w:val="20"/>
          <w:szCs w:val="20"/>
        </w:rPr>
        <w:t>1</w:t>
      </w:r>
      <w:r w:rsidR="000A65AA">
        <w:rPr>
          <w:rFonts w:ascii="Verdana" w:hAnsi="Verdana"/>
          <w:sz w:val="20"/>
          <w:szCs w:val="20"/>
        </w:rPr>
        <w:t>53</w:t>
      </w:r>
      <w:r w:rsidR="00E4283B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)</w:t>
      </w:r>
      <w:r w:rsidR="005958C4">
        <w:rPr>
          <w:rFonts w:ascii="Verdana" w:hAnsi="Verdana"/>
          <w:sz w:val="20"/>
          <w:szCs w:val="20"/>
        </w:rPr>
        <w:t xml:space="preserve"> z uwzględnieniem Rozporządzenia Ministra Finansów z dnia 10 stycznia 2013 r</w:t>
      </w:r>
      <w:r w:rsidR="00E2264B">
        <w:rPr>
          <w:rFonts w:ascii="Verdana" w:hAnsi="Verdana"/>
          <w:sz w:val="20"/>
          <w:szCs w:val="20"/>
        </w:rPr>
        <w:t>.</w:t>
      </w:r>
      <w:r w:rsidR="005958C4">
        <w:rPr>
          <w:rFonts w:ascii="Verdana" w:hAnsi="Verdana"/>
          <w:sz w:val="20"/>
          <w:szCs w:val="20"/>
        </w:rPr>
        <w:t xml:space="preserve"> w sprawie wieloletniej prognozy finansowej </w:t>
      </w:r>
      <w:r w:rsidR="000A65AA">
        <w:rPr>
          <w:rFonts w:ascii="Verdana" w:hAnsi="Verdana"/>
          <w:sz w:val="20"/>
          <w:szCs w:val="20"/>
        </w:rPr>
        <w:t xml:space="preserve">jednostki </w:t>
      </w:r>
      <w:r w:rsidR="005958C4">
        <w:rPr>
          <w:rFonts w:ascii="Verdana" w:hAnsi="Verdana"/>
          <w:sz w:val="20"/>
          <w:szCs w:val="20"/>
        </w:rPr>
        <w:t>s</w:t>
      </w:r>
      <w:r w:rsidR="000A65AA">
        <w:rPr>
          <w:rFonts w:ascii="Verdana" w:hAnsi="Verdana"/>
          <w:sz w:val="20"/>
          <w:szCs w:val="20"/>
        </w:rPr>
        <w:t xml:space="preserve">amorządu </w:t>
      </w:r>
      <w:r w:rsidR="005958C4">
        <w:rPr>
          <w:rFonts w:ascii="Verdana" w:hAnsi="Verdana"/>
          <w:sz w:val="20"/>
          <w:szCs w:val="20"/>
        </w:rPr>
        <w:t>t</w:t>
      </w:r>
      <w:r w:rsidR="000A65AA">
        <w:rPr>
          <w:rFonts w:ascii="Verdana" w:hAnsi="Verdana"/>
          <w:sz w:val="20"/>
          <w:szCs w:val="20"/>
        </w:rPr>
        <w:t>erytorialnego</w:t>
      </w:r>
      <w:r w:rsidR="005958C4">
        <w:rPr>
          <w:rFonts w:ascii="Verdana" w:hAnsi="Verdana"/>
          <w:sz w:val="20"/>
          <w:szCs w:val="20"/>
        </w:rPr>
        <w:t>, w którym określony został wzór WP</w:t>
      </w:r>
      <w:r w:rsidR="00A65608">
        <w:rPr>
          <w:rFonts w:ascii="Verdana" w:hAnsi="Verdana"/>
          <w:sz w:val="20"/>
          <w:szCs w:val="20"/>
        </w:rPr>
        <w:t>F i wzór wykazu przedsięwzięć</w:t>
      </w:r>
      <w:r w:rsidR="000B4496">
        <w:rPr>
          <w:rFonts w:ascii="Verdana" w:hAnsi="Verdana"/>
          <w:sz w:val="20"/>
          <w:szCs w:val="20"/>
        </w:rPr>
        <w:t>.</w:t>
      </w:r>
    </w:p>
    <w:p w:rsidR="00713F3A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 xml:space="preserve">Przedstawiona obecnie Wieloletnia Prognoza Finansowa </w:t>
      </w:r>
      <w:r w:rsidR="000A65AA">
        <w:rPr>
          <w:rFonts w:ascii="Verdana" w:hAnsi="Verdana" w:cs="TimesNewRomanPSMT"/>
          <w:sz w:val="20"/>
          <w:szCs w:val="20"/>
        </w:rPr>
        <w:t>Miasta</w:t>
      </w:r>
      <w:r w:rsidRPr="006E439C">
        <w:rPr>
          <w:rFonts w:ascii="Verdana" w:hAnsi="Verdana" w:cs="TimesNewRomanPSMT"/>
          <w:sz w:val="20"/>
          <w:szCs w:val="20"/>
        </w:rPr>
        <w:t xml:space="preserve"> </w:t>
      </w:r>
      <w:r>
        <w:rPr>
          <w:rFonts w:ascii="Verdana" w:hAnsi="Verdana" w:cs="TimesNewRomanPSMT"/>
          <w:sz w:val="20"/>
          <w:szCs w:val="20"/>
        </w:rPr>
        <w:t>Szklarska Poręba</w:t>
      </w:r>
      <w:r w:rsidRPr="006E439C">
        <w:rPr>
          <w:rFonts w:ascii="Verdana" w:hAnsi="Verdana" w:cs="TimesNewRomanPSMT"/>
          <w:sz w:val="20"/>
          <w:szCs w:val="20"/>
        </w:rPr>
        <w:t xml:space="preserve"> opracowana została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w oparciu o dane wynikając</w:t>
      </w:r>
      <w:r w:rsidR="00E4283B">
        <w:rPr>
          <w:rFonts w:ascii="Verdana" w:hAnsi="Verdana" w:cs="TimesNewRomanPSMT"/>
          <w:sz w:val="20"/>
          <w:szCs w:val="20"/>
        </w:rPr>
        <w:t>e z projektu budżetu na rok 202</w:t>
      </w:r>
      <w:r w:rsidR="000A65AA">
        <w:rPr>
          <w:rFonts w:ascii="Verdana" w:hAnsi="Verdana" w:cs="TimesNewRomanPSMT"/>
          <w:sz w:val="20"/>
          <w:szCs w:val="20"/>
        </w:rPr>
        <w:t>5</w:t>
      </w:r>
      <w:r w:rsidRPr="006E439C">
        <w:rPr>
          <w:rFonts w:ascii="Verdana" w:hAnsi="Verdana" w:cs="TimesNewRomanPSMT"/>
          <w:sz w:val="20"/>
          <w:szCs w:val="20"/>
        </w:rPr>
        <w:t>, jak również w oparciu o prognozowane</w:t>
      </w:r>
      <w:r w:rsidR="00AF66FC">
        <w:rPr>
          <w:rFonts w:ascii="Verdana" w:hAnsi="Verdana" w:cs="TimesNewRomanPSMT"/>
          <w:sz w:val="20"/>
          <w:szCs w:val="20"/>
        </w:rPr>
        <w:t xml:space="preserve"> wykonanie</w:t>
      </w:r>
      <w:r w:rsidR="00E4283B">
        <w:rPr>
          <w:rFonts w:ascii="Verdana" w:hAnsi="Verdana" w:cs="TimesNewRomanPSMT"/>
          <w:sz w:val="20"/>
          <w:szCs w:val="20"/>
        </w:rPr>
        <w:t xml:space="preserve"> budżetu za 202</w:t>
      </w:r>
      <w:r w:rsidR="000A65AA">
        <w:rPr>
          <w:rFonts w:ascii="Verdana" w:hAnsi="Verdana" w:cs="TimesNewRomanPSMT"/>
          <w:sz w:val="20"/>
          <w:szCs w:val="20"/>
        </w:rPr>
        <w:t>4</w:t>
      </w:r>
      <w:r w:rsidR="007E71EF">
        <w:rPr>
          <w:rFonts w:ascii="Verdana" w:hAnsi="Verdana" w:cs="TimesNewRomanPSMT"/>
          <w:sz w:val="20"/>
          <w:szCs w:val="20"/>
        </w:rPr>
        <w:t xml:space="preserve"> oraz Wytyczne Ministra Finansów dot. stosowania jednolitych wskaźników makroekonomicznych</w:t>
      </w:r>
      <w:r>
        <w:rPr>
          <w:rFonts w:ascii="Verdana" w:hAnsi="Verdana" w:cs="TimesNewRomanPSMT"/>
          <w:sz w:val="20"/>
          <w:szCs w:val="20"/>
        </w:rPr>
        <w:t xml:space="preserve">. </w:t>
      </w:r>
    </w:p>
    <w:p w:rsidR="006E439C" w:rsidRPr="006E439C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>Wieloletnia Prognoza Finansowa</w:t>
      </w:r>
      <w:r w:rsidR="00E80F74">
        <w:rPr>
          <w:rFonts w:ascii="Verdana" w:hAnsi="Verdana" w:cs="TimesNewRomanPSMT"/>
          <w:sz w:val="20"/>
          <w:szCs w:val="20"/>
        </w:rPr>
        <w:t xml:space="preserve"> opracowana została do roku 2031</w:t>
      </w:r>
      <w:r w:rsidRPr="006E439C">
        <w:rPr>
          <w:rFonts w:ascii="Verdana" w:hAnsi="Verdana" w:cs="TimesNewRomanPSMT"/>
          <w:sz w:val="20"/>
          <w:szCs w:val="20"/>
        </w:rPr>
        <w:t>, wynika to z faktu, że do roku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="00E80F74">
        <w:rPr>
          <w:rFonts w:ascii="Verdana" w:hAnsi="Verdana" w:cs="TimesNewRomanPSMT"/>
          <w:sz w:val="20"/>
          <w:szCs w:val="20"/>
        </w:rPr>
        <w:t>2031</w:t>
      </w:r>
      <w:r w:rsidRPr="006E439C">
        <w:rPr>
          <w:rFonts w:ascii="Verdana" w:hAnsi="Verdana" w:cs="TimesNewRomanPSMT"/>
          <w:sz w:val="20"/>
          <w:szCs w:val="20"/>
        </w:rPr>
        <w:t xml:space="preserve"> planowana jest ostateczna spłata wszystkich zaciągniętych i planowanych do zaciągnięcia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 xml:space="preserve">w kolejnych latach zobowiązań. Obowiązek ten wynika z art. 227 ust. </w:t>
      </w:r>
      <w:r w:rsidR="003D7B2A">
        <w:rPr>
          <w:rFonts w:ascii="Verdana" w:hAnsi="Verdana" w:cs="TimesNewRomanPSMT"/>
          <w:sz w:val="20"/>
          <w:szCs w:val="20"/>
        </w:rPr>
        <w:t>2 usta</w:t>
      </w:r>
      <w:r w:rsidRPr="006E439C">
        <w:rPr>
          <w:rFonts w:ascii="Verdana" w:hAnsi="Verdana" w:cs="TimesNewRomanPSMT"/>
          <w:sz w:val="20"/>
          <w:szCs w:val="20"/>
        </w:rPr>
        <w:t>wy o f.</w:t>
      </w:r>
      <w:r w:rsidR="00E80F74"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p., który stanowi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że: "prognozę kwoty długu, stanowiącą część wielolet</w:t>
      </w:r>
      <w:r>
        <w:rPr>
          <w:rFonts w:ascii="Verdana" w:hAnsi="Verdana" w:cs="TimesNewRomanPSMT"/>
          <w:sz w:val="20"/>
          <w:szCs w:val="20"/>
        </w:rPr>
        <w:t>niej prognozy finansowej, sporzą</w:t>
      </w:r>
      <w:r w:rsidRPr="006E439C">
        <w:rPr>
          <w:rFonts w:ascii="Verdana" w:hAnsi="Verdana" w:cs="TimesNewRomanPSMT"/>
          <w:sz w:val="20"/>
          <w:szCs w:val="20"/>
        </w:rPr>
        <w:t>dza się na</w:t>
      </w:r>
      <w:r>
        <w:rPr>
          <w:rFonts w:ascii="Verdana" w:hAnsi="Verdana" w:cs="TimesNewRomanPSMT"/>
          <w:sz w:val="20"/>
          <w:szCs w:val="20"/>
        </w:rPr>
        <w:t xml:space="preserve"> okres, na który zaciągnięto oraz planuje się zaciągnąć</w:t>
      </w:r>
      <w:r w:rsidRPr="006E439C">
        <w:rPr>
          <w:rFonts w:ascii="Verdana" w:hAnsi="Verdana" w:cs="TimesNewRomanPSMT"/>
          <w:sz w:val="20"/>
          <w:szCs w:val="20"/>
        </w:rPr>
        <w:t xml:space="preserve"> zobowiązania".</w:t>
      </w:r>
    </w:p>
    <w:p w:rsidR="009315C5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 xml:space="preserve">Wartości liczbowe przedstawione w Wieloletniej Prognozie Finansowej zgodne są </w:t>
      </w:r>
      <w:r w:rsidR="003D7B2A">
        <w:rPr>
          <w:rFonts w:ascii="Verdana" w:hAnsi="Verdana" w:cs="TimesNewRomanPSMT"/>
          <w:sz w:val="20"/>
          <w:szCs w:val="20"/>
        </w:rPr>
        <w:br/>
      </w:r>
      <w:r w:rsidRPr="006E439C">
        <w:rPr>
          <w:rFonts w:ascii="Verdana" w:hAnsi="Verdana" w:cs="TimesNewRomanPSMT"/>
          <w:sz w:val="20"/>
          <w:szCs w:val="20"/>
        </w:rPr>
        <w:t>z wartościami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 xml:space="preserve">przyjętymi w projekcie budżetu Gminy </w:t>
      </w:r>
      <w:r w:rsidR="00E4283B">
        <w:rPr>
          <w:rFonts w:ascii="Verdana" w:hAnsi="Verdana" w:cs="TimesNewRomanPSMT"/>
          <w:sz w:val="20"/>
          <w:szCs w:val="20"/>
        </w:rPr>
        <w:t>Szklarska Poręba na rok 202</w:t>
      </w:r>
      <w:r w:rsidR="00E80F74">
        <w:rPr>
          <w:rFonts w:ascii="Verdana" w:hAnsi="Verdana" w:cs="TimesNewRomanPSMT"/>
          <w:sz w:val="20"/>
          <w:szCs w:val="20"/>
        </w:rPr>
        <w:t>5</w:t>
      </w:r>
      <w:r w:rsidRPr="006E439C">
        <w:rPr>
          <w:rFonts w:ascii="Verdana" w:hAnsi="Verdana" w:cs="TimesNewRomanPSMT"/>
          <w:sz w:val="20"/>
          <w:szCs w:val="20"/>
        </w:rPr>
        <w:t>. Przedstawiony układ załączników jest</w:t>
      </w:r>
      <w:r w:rsidR="00FE05A6"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zgodny z wzorami udostępnionymi przez Ministerstwo Finansów.</w:t>
      </w:r>
    </w:p>
    <w:p w:rsidR="006E439C" w:rsidRPr="006E439C" w:rsidRDefault="006E439C" w:rsidP="000A65AA">
      <w:pPr>
        <w:spacing w:line="360" w:lineRule="auto"/>
        <w:jc w:val="both"/>
        <w:rPr>
          <w:rFonts w:ascii="Verdana" w:eastAsia="Georgia" w:hAnsi="Verdana" w:cs="Georgia"/>
          <w:sz w:val="20"/>
          <w:szCs w:val="20"/>
        </w:rPr>
      </w:pPr>
    </w:p>
    <w:p w:rsidR="00A3330C" w:rsidRPr="006E439C" w:rsidRDefault="006E439C" w:rsidP="000A65AA">
      <w:pPr>
        <w:numPr>
          <w:ilvl w:val="0"/>
          <w:numId w:val="18"/>
        </w:numPr>
        <w:spacing w:line="360" w:lineRule="auto"/>
        <w:ind w:left="284" w:hanging="29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Georgia" w:hAnsi="Verdana" w:cs="Georgia"/>
          <w:b/>
          <w:sz w:val="20"/>
          <w:szCs w:val="20"/>
        </w:rPr>
        <w:t>Dochody.</w:t>
      </w:r>
    </w:p>
    <w:p w:rsidR="006E439C" w:rsidRPr="006E439C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>Prognoza dochodów została opracowana w podziale na dochody bieżące i dochody majątkowe,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w tym dochody ze sprzedaży majątku. Wymóg ten wynika z art. 226 ust. 1 pkt 1 i 2 ustawy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o finansach publicznych.</w:t>
      </w:r>
    </w:p>
    <w:p w:rsidR="006E439C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>Planowanie wzrostów dochodów bieżących na okres kilku lat obarczone jest dużym ryzykiem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błędu. Kwot</w:t>
      </w:r>
      <w:r w:rsidR="00321083">
        <w:rPr>
          <w:rFonts w:ascii="Verdana" w:hAnsi="Verdana" w:cs="TimesNewRomanPSMT"/>
          <w:sz w:val="20"/>
          <w:szCs w:val="20"/>
        </w:rPr>
        <w:t>a dochodów bieżących w roku 202</w:t>
      </w:r>
      <w:r w:rsidR="00E80F74">
        <w:rPr>
          <w:rFonts w:ascii="Verdana" w:hAnsi="Verdana" w:cs="TimesNewRomanPSMT"/>
          <w:sz w:val="20"/>
          <w:szCs w:val="20"/>
        </w:rPr>
        <w:t>5</w:t>
      </w:r>
      <w:r w:rsidRPr="006E439C">
        <w:rPr>
          <w:rFonts w:ascii="Verdana" w:hAnsi="Verdana" w:cs="TimesNewRomanPSMT"/>
          <w:sz w:val="20"/>
          <w:szCs w:val="20"/>
        </w:rPr>
        <w:t xml:space="preserve"> wynika z projektu budżetu gminy na ten rok.</w:t>
      </w:r>
    </w:p>
    <w:p w:rsidR="00E4283B" w:rsidRPr="00E4283B" w:rsidRDefault="00063194" w:rsidP="000A65A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W wieloletniej prognozie przyjęto wzrost dochodów bieżących związany z planowanym oddaniem w użytkowanie kilku obiektów hotelowych, z których gmina osiągnie corocznie wyższe wpływy związane z podatkiem od nieruchomości </w:t>
      </w:r>
      <w:r w:rsidR="003E4BAA">
        <w:rPr>
          <w:rFonts w:ascii="Verdana" w:hAnsi="Verdana" w:cs="TimesNewRomanPSMT"/>
          <w:sz w:val="20"/>
          <w:szCs w:val="20"/>
        </w:rPr>
        <w:t>oraz pobieraną opłatą miejscową</w:t>
      </w:r>
      <w:r w:rsidR="0045494C">
        <w:rPr>
          <w:rFonts w:ascii="Verdana" w:hAnsi="Verdana" w:cs="TimesNewRomanPSMT"/>
          <w:sz w:val="20"/>
          <w:szCs w:val="20"/>
        </w:rPr>
        <w:t xml:space="preserve"> </w:t>
      </w:r>
      <w:r w:rsidR="0045494C">
        <w:rPr>
          <w:rFonts w:ascii="Verdana" w:hAnsi="Verdana" w:cs="TimesNewRomanPSMT"/>
          <w:sz w:val="20"/>
          <w:szCs w:val="20"/>
        </w:rPr>
        <w:lastRenderedPageBreak/>
        <w:t xml:space="preserve">m in.: </w:t>
      </w:r>
      <w:r w:rsidR="00E4283B" w:rsidRPr="00E133A4">
        <w:rPr>
          <w:rFonts w:ascii="Verdana" w:hAnsi="Verdana"/>
          <w:sz w:val="20"/>
          <w:szCs w:val="20"/>
        </w:rPr>
        <w:t xml:space="preserve">Team Invest przy ul. Słonecznej, </w:t>
      </w:r>
      <w:proofErr w:type="spellStart"/>
      <w:r w:rsidR="00E4283B" w:rsidRPr="00E133A4">
        <w:rPr>
          <w:rFonts w:ascii="Verdana" w:hAnsi="Verdana"/>
          <w:sz w:val="20"/>
          <w:szCs w:val="20"/>
        </w:rPr>
        <w:t>Polish</w:t>
      </w:r>
      <w:proofErr w:type="spellEnd"/>
      <w:r w:rsidR="00E4283B" w:rsidRPr="001F3E8D">
        <w:rPr>
          <w:rFonts w:ascii="Verdana" w:hAnsi="Verdana"/>
          <w:sz w:val="20"/>
          <w:szCs w:val="20"/>
        </w:rPr>
        <w:t xml:space="preserve"> </w:t>
      </w:r>
      <w:proofErr w:type="spellStart"/>
      <w:r w:rsidR="00E4283B" w:rsidRPr="001F3E8D">
        <w:rPr>
          <w:rFonts w:ascii="Verdana" w:hAnsi="Verdana"/>
          <w:sz w:val="20"/>
          <w:szCs w:val="20"/>
        </w:rPr>
        <w:t>Mountain</w:t>
      </w:r>
      <w:proofErr w:type="spellEnd"/>
      <w:r w:rsidR="00E4283B" w:rsidRPr="001F3E8D">
        <w:rPr>
          <w:rFonts w:ascii="Verdana" w:hAnsi="Verdana"/>
          <w:sz w:val="20"/>
          <w:szCs w:val="20"/>
        </w:rPr>
        <w:t xml:space="preserve"> Resort-Hotel </w:t>
      </w:r>
      <w:proofErr w:type="spellStart"/>
      <w:r w:rsidR="00E4283B" w:rsidRPr="001F3E8D">
        <w:rPr>
          <w:rFonts w:ascii="Verdana" w:hAnsi="Verdana"/>
          <w:sz w:val="20"/>
          <w:szCs w:val="20"/>
        </w:rPr>
        <w:t>Preference</w:t>
      </w:r>
      <w:proofErr w:type="spellEnd"/>
      <w:r w:rsidR="00E4283B" w:rsidRPr="001F3E8D">
        <w:rPr>
          <w:rFonts w:ascii="Verdana" w:hAnsi="Verdana"/>
          <w:sz w:val="20"/>
          <w:szCs w:val="20"/>
        </w:rPr>
        <w:t xml:space="preserve"> przy </w:t>
      </w:r>
      <w:r w:rsidR="00E133A4">
        <w:rPr>
          <w:rFonts w:ascii="Verdana" w:hAnsi="Verdana"/>
          <w:sz w:val="20"/>
          <w:szCs w:val="20"/>
        </w:rPr>
        <w:br/>
      </w:r>
      <w:r w:rsidR="00E4283B" w:rsidRPr="001F3E8D">
        <w:rPr>
          <w:rFonts w:ascii="Verdana" w:hAnsi="Verdana"/>
          <w:sz w:val="20"/>
          <w:szCs w:val="20"/>
        </w:rPr>
        <w:t xml:space="preserve">ul. </w:t>
      </w:r>
      <w:r w:rsidR="00E4283B" w:rsidRPr="00E133A4">
        <w:rPr>
          <w:rFonts w:ascii="Verdana" w:hAnsi="Verdana"/>
          <w:sz w:val="20"/>
          <w:szCs w:val="20"/>
        </w:rPr>
        <w:t xml:space="preserve">Kołłątaja; Szklarska </w:t>
      </w:r>
      <w:proofErr w:type="spellStart"/>
      <w:r w:rsidR="00E4283B" w:rsidRPr="00E133A4">
        <w:rPr>
          <w:rFonts w:ascii="Verdana" w:hAnsi="Verdana"/>
          <w:sz w:val="20"/>
          <w:szCs w:val="20"/>
        </w:rPr>
        <w:t>Apartamets</w:t>
      </w:r>
      <w:proofErr w:type="spellEnd"/>
      <w:r w:rsidR="00E4283B" w:rsidRPr="00E133A4">
        <w:rPr>
          <w:rFonts w:ascii="Verdana" w:hAnsi="Verdana"/>
          <w:sz w:val="20"/>
          <w:szCs w:val="20"/>
        </w:rPr>
        <w:t xml:space="preserve"> przy ul. </w:t>
      </w:r>
      <w:r w:rsidR="00E133A4" w:rsidRPr="00E133A4">
        <w:rPr>
          <w:rFonts w:ascii="Verdana" w:hAnsi="Verdana"/>
          <w:sz w:val="20"/>
          <w:szCs w:val="20"/>
        </w:rPr>
        <w:t>Caritas</w:t>
      </w:r>
      <w:r w:rsidR="00E4283B" w:rsidRPr="00E133A4">
        <w:rPr>
          <w:rFonts w:ascii="Verdana" w:hAnsi="Verdana"/>
          <w:sz w:val="20"/>
          <w:szCs w:val="20"/>
        </w:rPr>
        <w:t>.</w:t>
      </w:r>
    </w:p>
    <w:p w:rsidR="00855936" w:rsidRDefault="001F3E8D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Ze względu na olbrzymi rozwój w ostatnich latach Miasta Szklarska Poręba, tj. co roku powstawanie nowych obiektów zarówno noclegowych jak i gastronomicznych zaplanowano również większe wpływy z opłat za parkingi miejskie oraz kary za mandaty nakładane przez Straż Miejską. </w:t>
      </w:r>
      <w:r w:rsidR="003E4BAA">
        <w:rPr>
          <w:rFonts w:ascii="Verdana" w:hAnsi="Verdana" w:cs="TimesNewRomanPSMT"/>
          <w:sz w:val="20"/>
          <w:szCs w:val="20"/>
        </w:rPr>
        <w:t xml:space="preserve">Do dochodów bieżących zaplanowano </w:t>
      </w:r>
      <w:r>
        <w:rPr>
          <w:rFonts w:ascii="Verdana" w:hAnsi="Verdana" w:cs="TimesNewRomanPSMT"/>
          <w:sz w:val="20"/>
          <w:szCs w:val="20"/>
        </w:rPr>
        <w:t>także</w:t>
      </w:r>
      <w:r w:rsidR="003E4BAA">
        <w:rPr>
          <w:rFonts w:ascii="Verdana" w:hAnsi="Verdana" w:cs="TimesNewRomanPSMT"/>
          <w:sz w:val="20"/>
          <w:szCs w:val="20"/>
        </w:rPr>
        <w:t xml:space="preserve"> wp</w:t>
      </w:r>
      <w:r w:rsidR="00B812D7">
        <w:rPr>
          <w:rFonts w:ascii="Verdana" w:hAnsi="Verdana" w:cs="TimesNewRomanPSMT"/>
          <w:sz w:val="20"/>
          <w:szCs w:val="20"/>
        </w:rPr>
        <w:t xml:space="preserve">ływy </w:t>
      </w:r>
      <w:r>
        <w:rPr>
          <w:rFonts w:ascii="Verdana" w:hAnsi="Verdana" w:cs="TimesNewRomanPSMT"/>
          <w:sz w:val="20"/>
          <w:szCs w:val="20"/>
        </w:rPr>
        <w:br/>
      </w:r>
      <w:r w:rsidR="003E4BAA">
        <w:rPr>
          <w:rFonts w:ascii="Verdana" w:hAnsi="Verdana" w:cs="TimesNewRomanPSMT"/>
          <w:sz w:val="20"/>
          <w:szCs w:val="20"/>
        </w:rPr>
        <w:t>z opłaty reklamowej oraz opłaty planistycznej.</w:t>
      </w:r>
    </w:p>
    <w:p w:rsidR="00855936" w:rsidRDefault="00E0061A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Ponadto </w:t>
      </w:r>
      <w:r w:rsidR="00E4283B">
        <w:rPr>
          <w:rFonts w:ascii="Verdana" w:hAnsi="Verdana" w:cs="TimesNewRomanPSMT"/>
          <w:sz w:val="20"/>
          <w:szCs w:val="20"/>
        </w:rPr>
        <w:t>w 202</w:t>
      </w:r>
      <w:r>
        <w:rPr>
          <w:rFonts w:ascii="Verdana" w:hAnsi="Verdana" w:cs="TimesNewRomanPSMT"/>
          <w:sz w:val="20"/>
          <w:szCs w:val="20"/>
        </w:rPr>
        <w:t>5</w:t>
      </w:r>
      <w:r w:rsidR="00855936">
        <w:rPr>
          <w:rFonts w:ascii="Verdana" w:hAnsi="Verdana" w:cs="TimesNewRomanPSMT"/>
          <w:sz w:val="20"/>
          <w:szCs w:val="20"/>
        </w:rPr>
        <w:t xml:space="preserve"> roku </w:t>
      </w:r>
      <w:r>
        <w:rPr>
          <w:rFonts w:ascii="Verdana" w:hAnsi="Verdana" w:cs="TimesNewRomanPSMT"/>
          <w:sz w:val="20"/>
          <w:szCs w:val="20"/>
        </w:rPr>
        <w:t>Miasto planuje</w:t>
      </w:r>
      <w:r w:rsidR="00855936">
        <w:rPr>
          <w:rFonts w:ascii="Verdana" w:hAnsi="Verdana" w:cs="TimesNewRomanPSMT"/>
          <w:sz w:val="20"/>
          <w:szCs w:val="20"/>
        </w:rPr>
        <w:t xml:space="preserve"> przyst</w:t>
      </w:r>
      <w:r>
        <w:rPr>
          <w:rFonts w:ascii="Verdana" w:hAnsi="Verdana" w:cs="TimesNewRomanPSMT"/>
          <w:sz w:val="20"/>
          <w:szCs w:val="20"/>
        </w:rPr>
        <w:t>ą</w:t>
      </w:r>
      <w:r w:rsidR="00855936">
        <w:rPr>
          <w:rFonts w:ascii="Verdana" w:hAnsi="Verdana" w:cs="TimesNewRomanPSMT"/>
          <w:sz w:val="20"/>
          <w:szCs w:val="20"/>
        </w:rPr>
        <w:t>p</w:t>
      </w:r>
      <w:r>
        <w:rPr>
          <w:rFonts w:ascii="Verdana" w:hAnsi="Verdana" w:cs="TimesNewRomanPSMT"/>
          <w:sz w:val="20"/>
          <w:szCs w:val="20"/>
        </w:rPr>
        <w:t>ić</w:t>
      </w:r>
      <w:r w:rsidR="00855936">
        <w:rPr>
          <w:rFonts w:ascii="Verdana" w:hAnsi="Verdana" w:cs="TimesNewRomanPSMT"/>
          <w:sz w:val="20"/>
          <w:szCs w:val="20"/>
        </w:rPr>
        <w:t xml:space="preserve"> do wielu zadań w celu pozyskania środków zewnętrznych na zadania bieżące jak i inwestycyjne.</w:t>
      </w:r>
    </w:p>
    <w:p w:rsidR="00321083" w:rsidRPr="006E439C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Przyjęto następujące wartości:</w:t>
      </w:r>
    </w:p>
    <w:p w:rsidR="006C2755" w:rsidRDefault="00A3330C" w:rsidP="000A65AA">
      <w:pPr>
        <w:keepLines/>
        <w:numPr>
          <w:ilvl w:val="0"/>
          <w:numId w:val="12"/>
        </w:numPr>
        <w:spacing w:line="360" w:lineRule="auto"/>
        <w:jc w:val="both"/>
        <w:rPr>
          <w:rFonts w:ascii="Verdana" w:eastAsia="Georgia" w:hAnsi="Verdana" w:cs="Georgi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przewidywane wykonanie</w:t>
      </w:r>
      <w:r w:rsidR="00FE05A6">
        <w:rPr>
          <w:rFonts w:ascii="Verdana" w:eastAsia="Georgia" w:hAnsi="Verdana" w:cs="Georgia"/>
          <w:sz w:val="20"/>
          <w:szCs w:val="20"/>
        </w:rPr>
        <w:t xml:space="preserve"> dochodów b</w:t>
      </w:r>
      <w:r w:rsidR="00E0061A">
        <w:rPr>
          <w:rFonts w:ascii="Verdana" w:eastAsia="Georgia" w:hAnsi="Verdana" w:cs="Georgia"/>
          <w:sz w:val="20"/>
          <w:szCs w:val="20"/>
        </w:rPr>
        <w:t>udżetowych w roku 2024</w:t>
      </w:r>
      <w:r>
        <w:rPr>
          <w:rFonts w:ascii="Verdana" w:eastAsia="Georgia" w:hAnsi="Verdana" w:cs="Georgia"/>
          <w:sz w:val="20"/>
          <w:szCs w:val="20"/>
        </w:rPr>
        <w:t>,</w:t>
      </w:r>
      <w:r w:rsidR="00076F4F">
        <w:rPr>
          <w:rFonts w:ascii="Verdana" w:eastAsia="Georgia" w:hAnsi="Verdana" w:cs="Georgia"/>
          <w:sz w:val="20"/>
          <w:szCs w:val="20"/>
        </w:rPr>
        <w:t xml:space="preserve"> </w:t>
      </w:r>
    </w:p>
    <w:p w:rsidR="00A3330C" w:rsidRPr="00F76E36" w:rsidRDefault="00A3330C" w:rsidP="000A65AA">
      <w:pPr>
        <w:keepLines/>
        <w:numPr>
          <w:ilvl w:val="0"/>
          <w:numId w:val="12"/>
        </w:numPr>
        <w:spacing w:line="360" w:lineRule="auto"/>
        <w:jc w:val="both"/>
        <w:rPr>
          <w:rFonts w:ascii="Verdana" w:eastAsia="Georgia" w:hAnsi="Verdana" w:cs="Georgi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obowiązujące na</w:t>
      </w:r>
      <w:r w:rsidR="00E4283B">
        <w:rPr>
          <w:rFonts w:ascii="Verdana" w:eastAsia="Georgia" w:hAnsi="Verdana" w:cs="Georgia"/>
          <w:sz w:val="20"/>
          <w:szCs w:val="20"/>
        </w:rPr>
        <w:t xml:space="preserve"> 202</w:t>
      </w:r>
      <w:r w:rsidR="00E0061A">
        <w:rPr>
          <w:rFonts w:ascii="Verdana" w:eastAsia="Georgia" w:hAnsi="Verdana" w:cs="Georgia"/>
          <w:sz w:val="20"/>
          <w:szCs w:val="20"/>
        </w:rPr>
        <w:t>5</w:t>
      </w:r>
      <w:r>
        <w:rPr>
          <w:rFonts w:ascii="Verdana" w:eastAsia="Georgia" w:hAnsi="Verdana" w:cs="Georgia"/>
          <w:sz w:val="20"/>
          <w:szCs w:val="20"/>
        </w:rPr>
        <w:t xml:space="preserve"> rok stawki podatku od nieruchomości uchwalone przez Radę Miejską w Szklarskiej Porębie,</w:t>
      </w:r>
      <w:r>
        <w:rPr>
          <w:rFonts w:ascii="Verdana" w:hAnsi="Verdana"/>
          <w:sz w:val="20"/>
          <w:szCs w:val="20"/>
        </w:rPr>
        <w:t> </w:t>
      </w:r>
    </w:p>
    <w:p w:rsidR="00A3330C" w:rsidRDefault="00A3330C" w:rsidP="000A65AA">
      <w:pPr>
        <w:keepLines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kwoty dotacji celowych – zgodnie z pismem Wojewody Dolnośląskiego oraz Krajowego Biura Wyborczego,</w:t>
      </w:r>
      <w:r>
        <w:rPr>
          <w:rFonts w:ascii="Verdana" w:hAnsi="Verdana"/>
          <w:sz w:val="20"/>
          <w:szCs w:val="20"/>
        </w:rPr>
        <w:t> </w:t>
      </w:r>
    </w:p>
    <w:p w:rsidR="00A3330C" w:rsidRDefault="00A3330C" w:rsidP="000A65AA">
      <w:pPr>
        <w:keepLines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kwot</w:t>
      </w:r>
      <w:r w:rsidR="00BD5FFE">
        <w:rPr>
          <w:rFonts w:ascii="Verdana" w:eastAsia="Georgia" w:hAnsi="Verdana" w:cs="Georgia"/>
          <w:sz w:val="20"/>
          <w:szCs w:val="20"/>
        </w:rPr>
        <w:t>y</w:t>
      </w:r>
      <w:r>
        <w:rPr>
          <w:rFonts w:ascii="Verdana" w:eastAsia="Georgia" w:hAnsi="Verdana" w:cs="Georgia"/>
          <w:sz w:val="20"/>
          <w:szCs w:val="20"/>
        </w:rPr>
        <w:t xml:space="preserve"> subwencji oraz udziały w podatku dochodowym od osób fizycznych –  zgodnie z pismem Ministra Finansów,</w:t>
      </w:r>
      <w:r>
        <w:rPr>
          <w:rFonts w:ascii="Verdana" w:hAnsi="Verdana"/>
          <w:sz w:val="20"/>
          <w:szCs w:val="20"/>
        </w:rPr>
        <w:t> </w:t>
      </w:r>
    </w:p>
    <w:p w:rsidR="00A3330C" w:rsidRPr="00A65608" w:rsidRDefault="00A3330C" w:rsidP="000A65AA">
      <w:pPr>
        <w:pStyle w:val="Tekstpodstawowywcity3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prognozę dochodów miasta realizowanych  przez  Urząd Skarbowy w Jeleniej Górze</w:t>
      </w:r>
      <w:r w:rsidR="00A656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6"/>
          <w:sz w:val="20"/>
          <w:szCs w:val="20"/>
        </w:rPr>
        <w:t xml:space="preserve">z tytułu udziału w podatku </w:t>
      </w:r>
      <w:r w:rsidR="00186FC7">
        <w:rPr>
          <w:rFonts w:ascii="Verdana" w:hAnsi="Verdana"/>
          <w:spacing w:val="-6"/>
          <w:sz w:val="20"/>
          <w:szCs w:val="20"/>
        </w:rPr>
        <w:t xml:space="preserve">dochodowym </w:t>
      </w:r>
      <w:r>
        <w:rPr>
          <w:rFonts w:ascii="Verdana" w:hAnsi="Verdana"/>
          <w:spacing w:val="-6"/>
          <w:sz w:val="20"/>
          <w:szCs w:val="20"/>
        </w:rPr>
        <w:t>od osób prawnych i  innych podatków realizowanych</w:t>
      </w:r>
      <w:r w:rsidR="00A65608">
        <w:rPr>
          <w:rFonts w:ascii="Verdana" w:hAnsi="Verdana"/>
          <w:spacing w:val="-6"/>
          <w:sz w:val="20"/>
          <w:szCs w:val="20"/>
        </w:rPr>
        <w:t xml:space="preserve"> </w:t>
      </w:r>
      <w:r w:rsidRPr="00A65608">
        <w:rPr>
          <w:rFonts w:ascii="Verdana" w:hAnsi="Verdana"/>
          <w:sz w:val="20"/>
          <w:szCs w:val="20"/>
        </w:rPr>
        <w:t>za pośrednictwem urzędu,</w:t>
      </w:r>
    </w:p>
    <w:p w:rsidR="00FE05A6" w:rsidRDefault="00FE05A6" w:rsidP="000A65AA">
      <w:pPr>
        <w:pStyle w:val="Tekstpodstawowywcity3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kolejne lata budżetowe zaplanowano wzrost dochodów w związku z:</w:t>
      </w:r>
    </w:p>
    <w:p w:rsidR="005B078D" w:rsidRDefault="00FE05A6" w:rsidP="000A65AA">
      <w:pPr>
        <w:pStyle w:val="Tekstpodstawowywcity3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zwiększeniem</w:t>
      </w:r>
      <w:r w:rsidR="009D62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działań egzekucyjnych</w:t>
      </w:r>
      <w:r w:rsidR="005B078D">
        <w:rPr>
          <w:rFonts w:ascii="Verdana" w:hAnsi="Verdana"/>
          <w:sz w:val="20"/>
          <w:szCs w:val="20"/>
        </w:rPr>
        <w:t>,</w:t>
      </w:r>
    </w:p>
    <w:p w:rsidR="009D6280" w:rsidRDefault="009D6280" w:rsidP="000A65AA">
      <w:pPr>
        <w:pStyle w:val="Tekstpodstawowywcity3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zwi</w:t>
      </w:r>
      <w:r w:rsidR="00FE05A6">
        <w:rPr>
          <w:rFonts w:ascii="Verdana" w:hAnsi="Verdana"/>
          <w:sz w:val="20"/>
          <w:szCs w:val="20"/>
        </w:rPr>
        <w:t>ększoną ilością kontroli dotyczącą</w:t>
      </w:r>
      <w:r>
        <w:rPr>
          <w:rFonts w:ascii="Verdana" w:hAnsi="Verdana"/>
          <w:sz w:val="20"/>
          <w:szCs w:val="20"/>
        </w:rPr>
        <w:t xml:space="preserve"> opodatkowania podatkiem od nieruchomości osób fizycznych i osób prawnych</w:t>
      </w:r>
      <w:r w:rsidR="00D9459A">
        <w:rPr>
          <w:rFonts w:ascii="Verdana" w:hAnsi="Verdana"/>
          <w:sz w:val="20"/>
          <w:szCs w:val="20"/>
        </w:rPr>
        <w:t>,</w:t>
      </w:r>
    </w:p>
    <w:p w:rsidR="009D6280" w:rsidRDefault="00FE05A6" w:rsidP="000A65AA">
      <w:pPr>
        <w:pStyle w:val="Tekstpodstawowywcity3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zwiększoną ilością kontroli dotyczącą </w:t>
      </w:r>
      <w:r w:rsidR="009D6280">
        <w:rPr>
          <w:rFonts w:ascii="Verdana" w:hAnsi="Verdana"/>
          <w:sz w:val="20"/>
          <w:szCs w:val="20"/>
        </w:rPr>
        <w:t>opłaty miejscowej</w:t>
      </w:r>
      <w:r w:rsidR="00D9459A">
        <w:rPr>
          <w:rFonts w:ascii="Verdana" w:hAnsi="Verdana"/>
          <w:sz w:val="20"/>
          <w:szCs w:val="20"/>
        </w:rPr>
        <w:t>,</w:t>
      </w:r>
    </w:p>
    <w:p w:rsidR="00E53AC8" w:rsidRPr="00E53AC8" w:rsidRDefault="00E0061A" w:rsidP="000A65AA">
      <w:pPr>
        <w:pStyle w:val="Tekstpodstawowywcity3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d</w:t>
      </w:r>
      <w:r w:rsidR="00E53AC8" w:rsidRPr="00E53AC8">
        <w:rPr>
          <w:rFonts w:ascii="Verdana" w:hAnsi="Verdana" w:cs="TimesNewRoman"/>
          <w:sz w:val="20"/>
          <w:szCs w:val="20"/>
        </w:rPr>
        <w:t xml:space="preserve">otacje celowe w ramach programów finansowanych z udziałem środków </w:t>
      </w:r>
      <w:r>
        <w:rPr>
          <w:rFonts w:ascii="Verdana" w:hAnsi="Verdana" w:cs="TimesNewRoman"/>
          <w:sz w:val="20"/>
          <w:szCs w:val="20"/>
        </w:rPr>
        <w:br/>
      </w:r>
      <w:r w:rsidR="00E53AC8" w:rsidRPr="00E53AC8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z Rządowego Funduszu Polski Ład: Program Inwestycji Strategicznych: </w:t>
      </w:r>
    </w:p>
    <w:p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1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/2021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Rozbudowa i przebudowa budynku przy ul. Turystycznej 2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>i adaptacja obiektu na potrzeby Miejskiej Biblioteki Publicznej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dotacja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w wysokości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626 000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zł,</w:t>
      </w:r>
    </w:p>
    <w:p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3PGR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/2021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EE41A0">
        <w:rPr>
          <w:rFonts w:ascii="Verdana" w:hAnsi="Verdana"/>
          <w:sz w:val="20"/>
          <w:szCs w:val="20"/>
        </w:rPr>
        <w:t>Przebudowa ulicy Waryńskiego w Szklarskiej Porębie na odcinku od wiaduktu kolejowego do ulicy Piastowskiej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dotacja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w wysokości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>1 960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 000 zł,</w:t>
      </w:r>
    </w:p>
    <w:p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 RPOZ/2022 Rewitalizacja wieży kościelnej i dachu Kościoła p.w. Bożego Ciała w Szklarskiej Porębie dotacja w wysokości 980 000 zł,</w:t>
      </w:r>
    </w:p>
    <w:p w:rsidR="00E0061A" w:rsidRPr="0064535E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Edycja 6PGR/2023 Przebudowa odcinka ulicy ks. Kard. Stefana Wyszyńskiego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>w Szklarskiej Porębie dotacja w wysokości 980 000 zł,</w:t>
      </w:r>
    </w:p>
    <w:p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lastRenderedPageBreak/>
        <w:t>Edycja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8/2023 </w:t>
      </w:r>
      <w:r w:rsidRPr="00EE41A0">
        <w:rPr>
          <w:rFonts w:ascii="Verdana" w:hAnsi="Verdana"/>
          <w:sz w:val="20"/>
          <w:szCs w:val="20"/>
        </w:rPr>
        <w:t xml:space="preserve">Przebudowa </w:t>
      </w:r>
      <w:r>
        <w:rPr>
          <w:rFonts w:ascii="Verdana" w:hAnsi="Verdana"/>
          <w:sz w:val="20"/>
          <w:szCs w:val="20"/>
        </w:rPr>
        <w:t>ulicy Szpitalnej w Szklarskiej Porębie od wiaduktu kolejowego do ul. Armii Krajowej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dotacja w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wysokości 1 900 000 zł,</w:t>
      </w:r>
    </w:p>
    <w:p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 2RPOZ/2023 Prace konserwatorskie i roboty budowlane przy zabytkowym wnętrzu kościoła p.w. Niepokalanego Serca Najświętszej Maryi Panny w Szklarskiej Porębie dotacja w wysokości 343 000 zł,</w:t>
      </w:r>
    </w:p>
    <w:p w:rsidR="00E0061A" w:rsidRPr="003245F6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Edycja 9/RP 2023 </w:t>
      </w:r>
      <w:r w:rsidRPr="0064535E">
        <w:rPr>
          <w:rFonts w:ascii="Verdana" w:hAnsi="Verdana"/>
          <w:sz w:val="20"/>
          <w:szCs w:val="20"/>
        </w:rPr>
        <w:t>Modernizacja infrastruktury oświetleniowej Miasta Szklarska Poręba</w:t>
      </w:r>
      <w:r>
        <w:rPr>
          <w:rFonts w:ascii="Verdana" w:hAnsi="Verdana"/>
          <w:sz w:val="20"/>
          <w:szCs w:val="20"/>
        </w:rPr>
        <w:t xml:space="preserve"> dotacja w wysokości 751 214 zł,</w:t>
      </w:r>
    </w:p>
    <w:p w:rsidR="00E0061A" w:rsidRDefault="00E0061A" w:rsidP="00E006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ponadto dotacje celowe otrzymanie w ramach innych programów tj.:</w:t>
      </w:r>
    </w:p>
    <w:p w:rsidR="00E0061A" w:rsidRDefault="00E0061A" w:rsidP="00E006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Fundusz Rozwoju Kultury Fizycznej w ramach programu Inwestycji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 xml:space="preserve">o szczególnym znaczeniu dla sportu – edycja 2023 – Budowa, rozbudowa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 xml:space="preserve">i przebudowa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rolkostrady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oraz budowa strzelnicy treningowej dla Zespołu Szkół Ogólnokształcących i Mistrzostwa Sportowego im. Jana Izydora Sztaudyngera w Szklarskiej Porębie, dotacja w wysokości 1 023 800 zł,</w:t>
      </w:r>
    </w:p>
    <w:p w:rsidR="00E0061A" w:rsidRDefault="00E0061A" w:rsidP="00E006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Fundusz Europejski na Rozwój Cyfrowy 2021-2027 – Cyberbezpieczeństwo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 xml:space="preserve">w Gminie Szklarska Poręba – Cyberbezpieczny Samorząd – poprawa cyberbezpieczeństwa w Urzędzie Miejskim w Szklarskiej Porębie, dotacja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>w wysokości 167 740 zł,</w:t>
      </w:r>
    </w:p>
    <w:p w:rsidR="00E0061A" w:rsidRDefault="00E0061A" w:rsidP="00E006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Fundusze Europejskie dla Dolnego Śląska 2021-2027 – Renowacja energetyczna budynku użyteczności publicznej MOPS Szklarska Poręba, dotacja w wysokości 778 051 zł,</w:t>
      </w:r>
    </w:p>
    <w:p w:rsidR="00E4283B" w:rsidRPr="00E0061A" w:rsidRDefault="00E0061A" w:rsidP="00E006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Fundusze Europejskie dla Dolnego Śląska 2021-2027 – Renowacja energetyczna zabytkowego budynku użyteczności publicznej przy ul. Grabskiego 5, dotacja w wysokości 886 687 zł,</w:t>
      </w:r>
    </w:p>
    <w:p w:rsidR="00A3330C" w:rsidRPr="007F00C8" w:rsidRDefault="00A3330C" w:rsidP="000A65AA">
      <w:pPr>
        <w:pStyle w:val="Tekstpodstawowywcity3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00C8">
        <w:rPr>
          <w:rFonts w:ascii="Verdana" w:eastAsia="Georgia" w:hAnsi="Verdana"/>
          <w:sz w:val="20"/>
          <w:szCs w:val="20"/>
        </w:rPr>
        <w:t xml:space="preserve">dochody z majątku gminy </w:t>
      </w:r>
      <w:r w:rsidR="00DD3262" w:rsidRPr="007F00C8">
        <w:rPr>
          <w:rFonts w:ascii="Verdana" w:eastAsia="Georgia" w:hAnsi="Verdana"/>
          <w:sz w:val="20"/>
          <w:szCs w:val="20"/>
        </w:rPr>
        <w:t>o</w:t>
      </w:r>
      <w:r w:rsidRPr="007F00C8">
        <w:rPr>
          <w:rFonts w:ascii="Verdana" w:eastAsia="Georgia" w:hAnsi="Verdana"/>
          <w:sz w:val="20"/>
          <w:szCs w:val="20"/>
        </w:rPr>
        <w:t>szacowan</w:t>
      </w:r>
      <w:r w:rsidR="00DD3262" w:rsidRPr="007F00C8">
        <w:rPr>
          <w:rFonts w:ascii="Verdana" w:eastAsia="Georgia" w:hAnsi="Verdana"/>
          <w:sz w:val="20"/>
          <w:szCs w:val="20"/>
        </w:rPr>
        <w:t>o</w:t>
      </w:r>
      <w:r w:rsidRPr="007F00C8">
        <w:rPr>
          <w:rFonts w:ascii="Verdana" w:eastAsia="Georgia" w:hAnsi="Verdana"/>
          <w:sz w:val="20"/>
          <w:szCs w:val="20"/>
        </w:rPr>
        <w:t xml:space="preserve"> na podstawie posiadanego mienia przeznaczonego do sprzedaży, zawartych umów najmu </w:t>
      </w:r>
      <w:r w:rsidR="009315C5">
        <w:rPr>
          <w:rFonts w:ascii="Verdana" w:eastAsia="Georgia" w:hAnsi="Verdana"/>
          <w:sz w:val="20"/>
          <w:szCs w:val="20"/>
        </w:rPr>
        <w:t>i dzierżawy.</w:t>
      </w:r>
    </w:p>
    <w:p w:rsidR="00C04C27" w:rsidRDefault="009D6280" w:rsidP="00E0061A">
      <w:pPr>
        <w:pStyle w:val="Tekstpodstawowywcity"/>
        <w:ind w:firstLine="0"/>
      </w:pPr>
      <w:r>
        <w:t>W projekcie budżetu</w:t>
      </w:r>
      <w:r w:rsidR="00227824">
        <w:t xml:space="preserve"> M</w:t>
      </w:r>
      <w:r w:rsidR="00A758A1">
        <w:t>iasta Szklarska Poręba na 202</w:t>
      </w:r>
      <w:r w:rsidR="00227824">
        <w:t>5</w:t>
      </w:r>
      <w:r>
        <w:t xml:space="preserve"> rok założono dochody </w:t>
      </w:r>
      <w:r w:rsidR="00E0061A">
        <w:br/>
      </w:r>
      <w:r>
        <w:t xml:space="preserve">z gospodarki mieszkaniowej na poziomie </w:t>
      </w:r>
      <w:r w:rsidR="00227824">
        <w:rPr>
          <w:b/>
        </w:rPr>
        <w:t>3 964 005</w:t>
      </w:r>
      <w:r>
        <w:rPr>
          <w:b/>
        </w:rPr>
        <w:t xml:space="preserve"> zł</w:t>
      </w:r>
      <w:r w:rsidR="00594498">
        <w:t>, na co składają się planowane dochody ze sprzedaży mienia tj. nieruchomości gruntowych (w wysokości 3 914 005 zł) oraz lokalowych (w wysokości 50 000 zł).</w:t>
      </w:r>
    </w:p>
    <w:p w:rsidR="000022FB" w:rsidRDefault="00C04C27" w:rsidP="000A65AA">
      <w:pPr>
        <w:pStyle w:val="Tekstpodstawowywcity"/>
        <w:ind w:firstLine="0"/>
      </w:pPr>
      <w:r>
        <w:t>P</w:t>
      </w:r>
      <w:r w:rsidR="000022FB">
        <w:t>oniższa tabela</w:t>
      </w:r>
      <w:r>
        <w:t xml:space="preserve"> prezentuje planowane do sprzedaży nieruchomości w ramach przetargu nieograniczonego</w:t>
      </w:r>
      <w:r w:rsidR="009D6280">
        <w:t xml:space="preserve">: </w:t>
      </w:r>
    </w:p>
    <w:tbl>
      <w:tblPr>
        <w:tblW w:w="5839" w:type="dxa"/>
        <w:tblInd w:w="16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840"/>
        <w:gridCol w:w="2747"/>
      </w:tblGrid>
      <w:tr w:rsidR="007D2B76" w:rsidTr="00594498">
        <w:trPr>
          <w:trHeight w:val="765"/>
        </w:trPr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B76" w:rsidRPr="007D2B76" w:rsidRDefault="007D2B76" w:rsidP="0059449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Położenie nieruchomości niezabudowanych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w ewidencji gruntów</w:t>
            </w:r>
          </w:p>
        </w:tc>
      </w:tr>
      <w:tr w:rsidR="007D2B76" w:rsidTr="00594498">
        <w:trPr>
          <w:trHeight w:val="482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Oficerska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228/4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</w:t>
            </w:r>
          </w:p>
        </w:tc>
      </w:tr>
      <w:tr w:rsidR="00594498" w:rsidTr="00594498">
        <w:trPr>
          <w:trHeight w:val="40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Żeromskiego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100/5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</w:t>
            </w:r>
          </w:p>
        </w:tc>
      </w:tr>
      <w:tr w:rsidR="00594498" w:rsidTr="00594498">
        <w:trPr>
          <w:trHeight w:val="40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Wiejska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63/5, 63/2</w:t>
            </w:r>
          </w:p>
        </w:tc>
      </w:tr>
      <w:tr w:rsidR="00594498" w:rsidTr="00594498">
        <w:trPr>
          <w:trHeight w:val="38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</w:tr>
      <w:tr w:rsidR="00594498" w:rsidTr="00594498">
        <w:trPr>
          <w:trHeight w:val="407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379/8</w:t>
            </w:r>
          </w:p>
        </w:tc>
      </w:tr>
      <w:tr w:rsidR="00594498" w:rsidTr="00594498">
        <w:trPr>
          <w:trHeight w:val="413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Żeromskiego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100/3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0001</w:t>
            </w:r>
          </w:p>
        </w:tc>
      </w:tr>
      <w:tr w:rsidR="00594498" w:rsidTr="00594498">
        <w:trPr>
          <w:trHeight w:val="406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Żeromskiego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107/4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0001</w:t>
            </w:r>
          </w:p>
        </w:tc>
      </w:tr>
      <w:tr w:rsidR="00594498" w:rsidTr="00594498">
        <w:trPr>
          <w:trHeight w:val="39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Izerska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123/2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0001</w:t>
            </w:r>
          </w:p>
        </w:tc>
      </w:tr>
      <w:tr w:rsidR="00594498" w:rsidTr="00594498">
        <w:trPr>
          <w:trHeight w:val="417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Szpitalna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0001</w:t>
            </w:r>
          </w:p>
        </w:tc>
      </w:tr>
      <w:tr w:rsidR="00594498" w:rsidTr="00594498">
        <w:trPr>
          <w:trHeight w:val="396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Spokojna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0002</w:t>
            </w:r>
          </w:p>
        </w:tc>
      </w:tr>
      <w:tr w:rsidR="00594498" w:rsidTr="00594498">
        <w:trPr>
          <w:trHeight w:val="416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Kolejowa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0003</w:t>
            </w:r>
          </w:p>
        </w:tc>
      </w:tr>
      <w:tr w:rsidR="00594498" w:rsidTr="00594498">
        <w:trPr>
          <w:trHeight w:val="40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Kolejowa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0003</w:t>
            </w:r>
          </w:p>
        </w:tc>
      </w:tr>
      <w:tr w:rsidR="00594498" w:rsidTr="00594498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dochód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5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 3 914 005 zł</w:t>
            </w:r>
          </w:p>
        </w:tc>
      </w:tr>
    </w:tbl>
    <w:p w:rsidR="00A758A1" w:rsidRDefault="00A758A1" w:rsidP="000A65AA">
      <w:pPr>
        <w:pStyle w:val="Tekstpodstawowywcity"/>
        <w:ind w:firstLine="0"/>
      </w:pPr>
    </w:p>
    <w:p w:rsidR="007E7A67" w:rsidRDefault="00CF6946" w:rsidP="000A65AA">
      <w:pPr>
        <w:pStyle w:val="Tekstpodstawowywcity"/>
        <w:ind w:firstLine="0"/>
      </w:pPr>
      <w:r>
        <w:t xml:space="preserve">Wzrost </w:t>
      </w:r>
      <w:r w:rsidR="007D2B76">
        <w:t>dochodów bieżących w latach 202</w:t>
      </w:r>
      <w:r w:rsidR="00594498">
        <w:t>5 - 2031</w:t>
      </w:r>
      <w:r>
        <w:t xml:space="preserve"> spowodowany wzrostem opłat za podatki i opłaty lokalne (podatek od nieruchomości, opłata miejscowa, opłata planistyczna, opłata reklamowa, opłata za parkingi itd.) przy </w:t>
      </w:r>
      <w:r w:rsidR="00A758A1">
        <w:t>podobnym</w:t>
      </w:r>
      <w:r>
        <w:t xml:space="preserve"> wzroście wydatków bieżących w tych latach (miasto planuje wdrożyć </w:t>
      </w:r>
      <w:r w:rsidR="00A758A1">
        <w:t>systemy oszczędnościowe w</w:t>
      </w:r>
      <w:r w:rsidR="00093D18">
        <w:t xml:space="preserve"> podległych</w:t>
      </w:r>
      <w:r w:rsidR="00A758A1">
        <w:t xml:space="preserve"> jednostkach</w:t>
      </w:r>
      <w:r>
        <w:t xml:space="preserve"> </w:t>
      </w:r>
      <w:r w:rsidR="00093D18">
        <w:t xml:space="preserve">mające </w:t>
      </w:r>
      <w:r>
        <w:t>na celu ograniczenie wydatków stałych</w:t>
      </w:r>
      <w:r w:rsidR="00594498">
        <w:t xml:space="preserve"> poprzez połączenie niektórych jednostek, </w:t>
      </w:r>
      <w:r w:rsidR="003D7B2A">
        <w:br/>
      </w:r>
      <w:r w:rsidR="00594498">
        <w:t>a także poprzez weryfikację umów na usługi, które scalone jak dla jednego podmiot</w:t>
      </w:r>
      <w:r w:rsidR="00CB2F75">
        <w:t>u</w:t>
      </w:r>
      <w:r w:rsidR="00594498">
        <w:t xml:space="preserve"> mogły by przynieść spore oszczędności</w:t>
      </w:r>
      <w:r>
        <w:t xml:space="preserve">) spowoduje wzrost nadwyżki operacyjnej, która zostanie przeznaczona na spłatę zaciągniętych kredytów oraz wykup obligacji. </w:t>
      </w:r>
    </w:p>
    <w:p w:rsidR="00CF6946" w:rsidRDefault="00CF6946" w:rsidP="000A65AA">
      <w:pPr>
        <w:pStyle w:val="Tekstpodstawowywcity"/>
        <w:ind w:firstLine="0"/>
      </w:pPr>
    </w:p>
    <w:p w:rsidR="003D1EE1" w:rsidRPr="00321083" w:rsidRDefault="00321083" w:rsidP="000A65AA">
      <w:pPr>
        <w:pStyle w:val="Tekstpodstawowy"/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eastAsia="Georgia" w:hAnsi="Verdana" w:cs="Georgia"/>
          <w:b/>
          <w:sz w:val="20"/>
          <w:szCs w:val="20"/>
        </w:rPr>
        <w:t xml:space="preserve">II. Wydatki. </w:t>
      </w:r>
    </w:p>
    <w:p w:rsidR="00321083" w:rsidRPr="00321083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321083">
        <w:rPr>
          <w:rFonts w:ascii="Verdana" w:hAnsi="Verdana" w:cs="TimesNewRomanPSMT"/>
          <w:sz w:val="20"/>
          <w:szCs w:val="20"/>
        </w:rPr>
        <w:t>Wydatki podzielone są na 2 grupy: wydatki bieżące i wydatki majątkowe.</w:t>
      </w:r>
    </w:p>
    <w:p w:rsidR="00321083" w:rsidRPr="00321083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321083">
        <w:rPr>
          <w:rFonts w:ascii="Verdana" w:hAnsi="Verdana" w:cs="TimesNewRomanPSMT"/>
          <w:sz w:val="20"/>
          <w:szCs w:val="20"/>
        </w:rPr>
        <w:t>Wydatki bieżące oszacowane zostały na podstawie wykona</w:t>
      </w:r>
      <w:r>
        <w:rPr>
          <w:rFonts w:ascii="Verdana" w:hAnsi="Verdana" w:cs="TimesNewRomanPSMT"/>
          <w:sz w:val="20"/>
          <w:szCs w:val="20"/>
        </w:rPr>
        <w:t>nia lat poprzednich,</w:t>
      </w:r>
      <w:r w:rsidR="00CB2F75">
        <w:rPr>
          <w:rFonts w:ascii="Verdana" w:hAnsi="Verdana" w:cs="TimesNewRomanPSMT"/>
          <w:sz w:val="20"/>
          <w:szCs w:val="20"/>
        </w:rPr>
        <w:t xml:space="preserve"> w roku 2025</w:t>
      </w:r>
      <w:r w:rsidRPr="00321083">
        <w:rPr>
          <w:rFonts w:ascii="Verdana" w:hAnsi="Verdana" w:cs="TimesNewRomanPSMT"/>
          <w:sz w:val="20"/>
          <w:szCs w:val="20"/>
        </w:rPr>
        <w:t xml:space="preserve"> ujęta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>została kwota wydatków wynikaj</w:t>
      </w:r>
      <w:r w:rsidR="00093D18">
        <w:rPr>
          <w:rFonts w:ascii="Verdana" w:hAnsi="Verdana" w:cs="TimesNewRomanPSMT"/>
          <w:sz w:val="20"/>
          <w:szCs w:val="20"/>
        </w:rPr>
        <w:t>ących z projektu budżetu na 202</w:t>
      </w:r>
      <w:r w:rsidR="00471867">
        <w:rPr>
          <w:rFonts w:ascii="Verdana" w:hAnsi="Verdana" w:cs="TimesNewRomanPSMT"/>
          <w:sz w:val="20"/>
          <w:szCs w:val="20"/>
        </w:rPr>
        <w:t>5</w:t>
      </w:r>
      <w:r w:rsidRPr="00321083">
        <w:rPr>
          <w:rFonts w:ascii="Verdana" w:hAnsi="Verdana" w:cs="TimesNewRomanPSMT"/>
          <w:sz w:val="20"/>
          <w:szCs w:val="20"/>
        </w:rPr>
        <w:t xml:space="preserve"> rok. </w:t>
      </w:r>
      <w:r w:rsidR="005C7683">
        <w:rPr>
          <w:rFonts w:ascii="Verdana" w:hAnsi="Verdana" w:cs="TimesNewRomanPSMT"/>
          <w:sz w:val="20"/>
          <w:szCs w:val="20"/>
        </w:rPr>
        <w:br/>
        <w:t>W</w:t>
      </w:r>
      <w:r w:rsidRPr="00321083">
        <w:rPr>
          <w:rFonts w:ascii="Verdana" w:hAnsi="Verdana" w:cs="TimesNewRomanPSMT"/>
          <w:sz w:val="20"/>
          <w:szCs w:val="20"/>
        </w:rPr>
        <w:t xml:space="preserve"> ramach wydatków bieżących wyodrębniono wydatki na wynagrodzenia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 xml:space="preserve">i składki od nich naliczane. </w:t>
      </w:r>
    </w:p>
    <w:p w:rsidR="00321083" w:rsidRPr="00321083" w:rsidRDefault="00093D18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Plano</w:t>
      </w:r>
      <w:r w:rsidR="007D2B76">
        <w:rPr>
          <w:rFonts w:ascii="Verdana" w:hAnsi="Verdana" w:cs="TimesNewRomanPSMT"/>
          <w:sz w:val="20"/>
          <w:szCs w:val="20"/>
        </w:rPr>
        <w:t>wany od 202</w:t>
      </w:r>
      <w:r w:rsidR="00471867">
        <w:rPr>
          <w:rFonts w:ascii="Verdana" w:hAnsi="Verdana" w:cs="TimesNewRomanPSMT"/>
          <w:sz w:val="20"/>
          <w:szCs w:val="20"/>
        </w:rPr>
        <w:t>5</w:t>
      </w:r>
      <w:r w:rsidR="00321083" w:rsidRPr="00321083">
        <w:rPr>
          <w:rFonts w:ascii="Verdana" w:hAnsi="Verdana" w:cs="TimesNewRomanPSMT"/>
          <w:sz w:val="20"/>
          <w:szCs w:val="20"/>
        </w:rPr>
        <w:t xml:space="preserve"> roku</w:t>
      </w:r>
      <w:r w:rsidR="00321083">
        <w:rPr>
          <w:rFonts w:ascii="Verdana" w:hAnsi="Verdana" w:cs="TimesNewRomanPSMT"/>
          <w:sz w:val="20"/>
          <w:szCs w:val="20"/>
        </w:rPr>
        <w:t xml:space="preserve"> </w:t>
      </w:r>
      <w:r w:rsidR="00321083" w:rsidRPr="00321083">
        <w:rPr>
          <w:rFonts w:ascii="Verdana" w:hAnsi="Verdana" w:cs="TimesNewRomanPSMT"/>
          <w:sz w:val="20"/>
          <w:szCs w:val="20"/>
        </w:rPr>
        <w:t>wzrost wydatków na wynagrodzenia w każdym kolejnym roku obejmuje środki na wypłatę nagród</w:t>
      </w:r>
      <w:r w:rsidR="00321083">
        <w:rPr>
          <w:rFonts w:ascii="Verdana" w:hAnsi="Verdana" w:cs="TimesNewRomanPSMT"/>
          <w:sz w:val="20"/>
          <w:szCs w:val="20"/>
        </w:rPr>
        <w:t xml:space="preserve"> </w:t>
      </w:r>
      <w:r w:rsidR="00321083" w:rsidRPr="00321083">
        <w:rPr>
          <w:rFonts w:ascii="Verdana" w:hAnsi="Verdana" w:cs="TimesNewRomanPSMT"/>
          <w:sz w:val="20"/>
          <w:szCs w:val="20"/>
        </w:rPr>
        <w:t>jubileuszowych pracowników oraz odprawy emerytalne</w:t>
      </w:r>
      <w:r w:rsidR="007D2B76">
        <w:rPr>
          <w:rFonts w:ascii="Verdana" w:hAnsi="Verdana" w:cs="TimesNewRomanPSMT"/>
          <w:sz w:val="20"/>
          <w:szCs w:val="20"/>
        </w:rPr>
        <w:t xml:space="preserve"> jak również </w:t>
      </w:r>
      <w:r w:rsidR="00471867">
        <w:rPr>
          <w:rFonts w:ascii="Verdana" w:hAnsi="Verdana" w:cs="TimesNewRomanPSMT"/>
          <w:sz w:val="20"/>
          <w:szCs w:val="20"/>
        </w:rPr>
        <w:t xml:space="preserve">znacznym </w:t>
      </w:r>
      <w:r w:rsidR="007D2B76">
        <w:rPr>
          <w:rFonts w:ascii="Verdana" w:hAnsi="Verdana" w:cs="TimesNewRomanPSMT"/>
          <w:sz w:val="20"/>
          <w:szCs w:val="20"/>
        </w:rPr>
        <w:t>wzrostem płacy minimalnej</w:t>
      </w:r>
      <w:r w:rsidR="00321083" w:rsidRPr="00321083">
        <w:rPr>
          <w:rFonts w:ascii="Verdana" w:hAnsi="Verdana" w:cs="TimesNewRomanPSMT"/>
          <w:sz w:val="20"/>
          <w:szCs w:val="20"/>
        </w:rPr>
        <w:t>.</w:t>
      </w:r>
    </w:p>
    <w:p w:rsidR="00C950B6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321083">
        <w:rPr>
          <w:rFonts w:ascii="Verdana" w:hAnsi="Verdana" w:cs="TimesNewRomanPSMT"/>
          <w:sz w:val="20"/>
          <w:szCs w:val="20"/>
        </w:rPr>
        <w:t>Zgodnie z wymogami ustawowymi wyodrębniono pozycję wydatków na obsługę poręczeń</w:t>
      </w:r>
      <w:r w:rsidR="000B7FEB">
        <w:rPr>
          <w:rFonts w:ascii="Verdana" w:hAnsi="Verdana" w:cs="TimesNewRomanPSMT"/>
          <w:sz w:val="20"/>
          <w:szCs w:val="20"/>
        </w:rPr>
        <w:t xml:space="preserve"> </w:t>
      </w:r>
      <w:r w:rsidR="00093D18">
        <w:rPr>
          <w:rFonts w:ascii="Verdana" w:hAnsi="Verdana" w:cs="TimesNewRomanPSMT"/>
          <w:sz w:val="20"/>
          <w:szCs w:val="20"/>
        </w:rPr>
        <w:t xml:space="preserve">i gwarancji. </w:t>
      </w:r>
      <w:r w:rsidRPr="00321083">
        <w:rPr>
          <w:rFonts w:ascii="Verdana" w:hAnsi="Verdana" w:cs="TimesNewRomanPSMT"/>
          <w:sz w:val="20"/>
          <w:szCs w:val="20"/>
        </w:rPr>
        <w:t>Wyodrębniono również pozycję wydatków związanych</w:t>
      </w:r>
      <w:r w:rsidR="00063194"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>z obsługą długu.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="003D7B2A">
        <w:rPr>
          <w:rFonts w:ascii="Verdana" w:hAnsi="Verdana" w:cs="TimesNewRomanPSMT"/>
          <w:sz w:val="20"/>
          <w:szCs w:val="20"/>
        </w:rPr>
        <w:br/>
      </w:r>
      <w:r w:rsidRPr="00321083">
        <w:rPr>
          <w:rFonts w:ascii="Verdana" w:hAnsi="Verdana" w:cs="TimesNewRomanPSMT"/>
          <w:sz w:val="20"/>
          <w:szCs w:val="20"/>
        </w:rPr>
        <w:t>W kolumnie tej przedstawiono wydatki z tytułu odsetek na podstawie harmonogramów spłat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>zaciągniętych kredytów i pożyczek. Na tej samej podstawie zaplanowano wysokość rozchodów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>w poszczególnych lat</w:t>
      </w:r>
      <w:r w:rsidR="007F7306">
        <w:rPr>
          <w:rFonts w:ascii="Verdana" w:hAnsi="Verdana" w:cs="TimesNewRomanPSMT"/>
          <w:sz w:val="20"/>
          <w:szCs w:val="20"/>
        </w:rPr>
        <w:t xml:space="preserve">ach objętych prognozą. </w:t>
      </w:r>
    </w:p>
    <w:p w:rsidR="00063194" w:rsidRDefault="00063194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trike/>
          <w:color w:val="FF0000"/>
          <w:sz w:val="20"/>
          <w:szCs w:val="20"/>
        </w:rPr>
      </w:pPr>
      <w:r w:rsidRPr="00713F3A">
        <w:rPr>
          <w:rFonts w:ascii="Verdana" w:hAnsi="Verdana" w:cs="TimesNewRomanPSMT"/>
          <w:sz w:val="20"/>
          <w:szCs w:val="20"/>
        </w:rPr>
        <w:t xml:space="preserve">W wieloletniej </w:t>
      </w:r>
      <w:r w:rsidRPr="00EB1D4F">
        <w:rPr>
          <w:rFonts w:ascii="Verdana" w:hAnsi="Verdana" w:cs="TimesNewRomanPSMT"/>
          <w:sz w:val="20"/>
          <w:szCs w:val="20"/>
        </w:rPr>
        <w:t xml:space="preserve">prognozie </w:t>
      </w:r>
      <w:r w:rsidR="00294FA0" w:rsidRPr="00EB1D4F">
        <w:rPr>
          <w:rFonts w:ascii="Verdana" w:hAnsi="Verdana" w:cs="TimesNewRomanPSMT"/>
          <w:sz w:val="20"/>
          <w:szCs w:val="20"/>
        </w:rPr>
        <w:t xml:space="preserve">finansowej w roku 2025 przyjęto spadek wydatków bieżących natomiast od roku 2026 </w:t>
      </w:r>
      <w:r w:rsidRPr="00EB1D4F">
        <w:rPr>
          <w:rFonts w:ascii="Verdana" w:hAnsi="Verdana" w:cs="TimesNewRomanPSMT"/>
          <w:sz w:val="20"/>
          <w:szCs w:val="20"/>
        </w:rPr>
        <w:t xml:space="preserve">przyjęto </w:t>
      </w:r>
      <w:r w:rsidR="0050134E" w:rsidRPr="00EB1D4F">
        <w:rPr>
          <w:rFonts w:ascii="Verdana" w:hAnsi="Verdana" w:cs="TimesNewRomanPSMT"/>
          <w:sz w:val="20"/>
          <w:szCs w:val="20"/>
        </w:rPr>
        <w:t>wzrost</w:t>
      </w:r>
      <w:r w:rsidRPr="00EB1D4F">
        <w:rPr>
          <w:rFonts w:ascii="Verdana" w:hAnsi="Verdana" w:cs="TimesNewRomanPSMT"/>
          <w:sz w:val="20"/>
          <w:szCs w:val="20"/>
        </w:rPr>
        <w:t xml:space="preserve"> wydatków bieżących</w:t>
      </w:r>
      <w:r w:rsidR="00EB1D4F" w:rsidRPr="00EB1D4F">
        <w:rPr>
          <w:rFonts w:ascii="Verdana" w:hAnsi="Verdana" w:cs="TimesNewRomanPSMT"/>
          <w:sz w:val="20"/>
          <w:szCs w:val="20"/>
        </w:rPr>
        <w:t>.</w:t>
      </w:r>
    </w:p>
    <w:p w:rsidR="00E0145C" w:rsidRPr="003D7B2A" w:rsidRDefault="00294FA0" w:rsidP="00294FA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EB1D4F">
        <w:rPr>
          <w:rFonts w:ascii="Verdana" w:hAnsi="Verdana" w:cs="TimesNewRomanPSMT"/>
          <w:sz w:val="20"/>
          <w:szCs w:val="20"/>
        </w:rPr>
        <w:t>Spadek wydatków bieżących w 2025 roku spowodowany jest tym, że w</w:t>
      </w:r>
      <w:r w:rsidR="00E0145C" w:rsidRPr="00EB1D4F">
        <w:rPr>
          <w:rFonts w:ascii="Verdana" w:hAnsi="Verdana" w:cs="TimesNewRomanPSMT"/>
          <w:sz w:val="20"/>
          <w:szCs w:val="20"/>
        </w:rPr>
        <w:t>ładze miasta zamierzają szukać oszczędności we wszystkich wydatkach bieżących, a w</w:t>
      </w:r>
      <w:r w:rsidRPr="00EB1D4F">
        <w:rPr>
          <w:rFonts w:ascii="Verdana" w:hAnsi="Verdana" w:cs="TimesNewRomanPSMT"/>
          <w:sz w:val="20"/>
          <w:szCs w:val="20"/>
        </w:rPr>
        <w:t xml:space="preserve"> </w:t>
      </w:r>
      <w:r w:rsidR="00E0145C" w:rsidRPr="00EB1D4F">
        <w:rPr>
          <w:rFonts w:ascii="Verdana" w:hAnsi="Verdana" w:cs="TimesNewRomanPSMT"/>
          <w:sz w:val="20"/>
          <w:szCs w:val="20"/>
        </w:rPr>
        <w:t xml:space="preserve">szczególnie </w:t>
      </w:r>
      <w:r w:rsidRPr="00EB1D4F">
        <w:rPr>
          <w:rFonts w:ascii="Verdana" w:hAnsi="Verdana" w:cs="TimesNewRomanPSMT"/>
          <w:sz w:val="20"/>
          <w:szCs w:val="20"/>
        </w:rPr>
        <w:br/>
      </w:r>
      <w:r w:rsidR="00E0145C" w:rsidRPr="003D7B2A">
        <w:rPr>
          <w:rFonts w:ascii="Verdana" w:hAnsi="Verdana" w:cs="TimesNewRomanPSMT"/>
          <w:sz w:val="20"/>
          <w:szCs w:val="20"/>
        </w:rPr>
        <w:lastRenderedPageBreak/>
        <w:t>w wydatkach pozostających poza podstawowymi obowiązkami samorządu.</w:t>
      </w:r>
      <w:r w:rsidRPr="003D7B2A">
        <w:rPr>
          <w:rFonts w:ascii="Verdana" w:hAnsi="Verdana" w:cs="TimesNewRomanPSMT"/>
          <w:sz w:val="20"/>
          <w:szCs w:val="20"/>
        </w:rPr>
        <w:t xml:space="preserve"> </w:t>
      </w:r>
      <w:r w:rsidR="00E0145C" w:rsidRPr="003D7B2A">
        <w:rPr>
          <w:rFonts w:ascii="Verdana" w:hAnsi="Verdana" w:cs="TimesNewRomanPSMT"/>
          <w:sz w:val="20"/>
          <w:szCs w:val="20"/>
        </w:rPr>
        <w:t>Wnikliwa analiza struktury wydatków jest i będzie prowadzona w trakcie realizacji budżetu.</w:t>
      </w:r>
    </w:p>
    <w:p w:rsidR="00E0145C" w:rsidRPr="003D7B2A" w:rsidRDefault="00294FA0" w:rsidP="00294FA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D7B2A">
        <w:rPr>
          <w:rFonts w:ascii="Verdana" w:hAnsi="Verdana" w:cs="TimesNewRomanPSMT"/>
          <w:sz w:val="20"/>
          <w:szCs w:val="20"/>
        </w:rPr>
        <w:t>Na bieżąco</w:t>
      </w:r>
      <w:r w:rsidR="00E0145C" w:rsidRPr="003D7B2A">
        <w:rPr>
          <w:rFonts w:ascii="Verdana" w:hAnsi="Verdana" w:cs="TimesNewRomanPSMT"/>
          <w:sz w:val="20"/>
          <w:szCs w:val="20"/>
        </w:rPr>
        <w:t xml:space="preserve"> wyznaczane </w:t>
      </w:r>
      <w:r w:rsidRPr="003D7B2A">
        <w:rPr>
          <w:rFonts w:ascii="Verdana" w:hAnsi="Verdana" w:cs="TimesNewRomanPSMT"/>
          <w:sz w:val="20"/>
          <w:szCs w:val="20"/>
        </w:rPr>
        <w:t>będą</w:t>
      </w:r>
      <w:r w:rsidR="00E0145C" w:rsidRPr="003D7B2A">
        <w:rPr>
          <w:rFonts w:ascii="Verdana" w:hAnsi="Verdana" w:cs="TimesNewRomanPSMT"/>
          <w:sz w:val="20"/>
          <w:szCs w:val="20"/>
        </w:rPr>
        <w:t xml:space="preserve"> obszary interwencji</w:t>
      </w:r>
      <w:r w:rsidRPr="003D7B2A">
        <w:rPr>
          <w:rFonts w:ascii="Verdana" w:hAnsi="Verdana" w:cs="TimesNewRomanPSMT"/>
          <w:sz w:val="20"/>
          <w:szCs w:val="20"/>
        </w:rPr>
        <w:t xml:space="preserve"> </w:t>
      </w:r>
      <w:r w:rsidR="00E0145C" w:rsidRPr="003D7B2A">
        <w:rPr>
          <w:rFonts w:ascii="Verdana" w:hAnsi="Verdana" w:cs="TimesNewRomanPSMT"/>
          <w:sz w:val="20"/>
          <w:szCs w:val="20"/>
        </w:rPr>
        <w:t xml:space="preserve">i wdrażane rozwiązania prowadzące do oszczędności w bieżących wydatkach. </w:t>
      </w:r>
      <w:r w:rsidRPr="003D7B2A">
        <w:rPr>
          <w:rFonts w:ascii="Verdana" w:hAnsi="Verdana" w:cs="TimesNewRomanPSMT"/>
          <w:sz w:val="20"/>
          <w:szCs w:val="20"/>
        </w:rPr>
        <w:t xml:space="preserve">Wszystkie ww. działania będą prowadzone, aby móc przeznaczyć jak największą kwotę na wydatki majątkowe, które w mieście są coraz bardziej konieczne do zrealizowania, ze względu na charakter turystyczny jaki posiada Miasto Szklarska Poręba. Ciągłej analizie podlegają potrzeby inwestycyjne i remontowe miasta. </w:t>
      </w:r>
      <w:r w:rsidR="003D7B2A" w:rsidRPr="003D7B2A">
        <w:rPr>
          <w:rFonts w:ascii="Verdana" w:hAnsi="Verdana" w:cs="TimesNewRomanPSMT"/>
          <w:sz w:val="20"/>
          <w:szCs w:val="20"/>
        </w:rPr>
        <w:br/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W latach poprzednich poniesiono</w:t>
      </w:r>
      <w:r w:rsidRPr="003D7B2A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nakłady na remonty i modernizację substancji mieszkaniowej oraz na infrastrukturę</w:t>
      </w:r>
      <w:r w:rsidRPr="003D7B2A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techniczną miasta.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Działania te są 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mają na celu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>spowodowanie redukcji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 wydatków na fundusze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remontowe w budynkach, gdzie gmina posiada lokale, jak również redukcja kosztów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związanych z zarządzaniem mieniem komunalnym. 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>Sukcesywnie w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ykonywan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e są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termomodernizacj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e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obiektów budowlanych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>.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br/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W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 planie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 budżetu jest ujęta Termomodernizacja 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>Miejskiego Ośrodka Pomocy Społecznej oraz budynku zabytkowego położonego w Szklarskiej Porębie przy ul. Władysława Grabskiego 5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.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 Ponadto gmina planuje pozyskać kolejne środki zewnętrzne na dalsze wykonywanie termomodernizacji budynków w tym budynków szkolnych oraz będących </w:t>
      </w:r>
      <w:r w:rsidR="003D7B2A">
        <w:rPr>
          <w:rStyle w:val="markedcontent"/>
          <w:rFonts w:ascii="Verdana" w:hAnsi="Verdana" w:cs="Calibri"/>
          <w:sz w:val="20"/>
          <w:szCs w:val="20"/>
        </w:rPr>
        <w:br/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>w zasobie komunalnym, w których Gmina ma 100 % zasób mieszkaniowy.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W planie budżetu ujęta jest również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modernizacj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>a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 oświetlenia miejskiego poprzez wymianę lamp zwykłych na energooszczędne. 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>Powyższe d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ziałania wpływają na obniżenie wydatków bieżących w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 kilku obszarach m. in.: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>oświacie, gospodarce mieszkaniowej</w:t>
      </w:r>
      <w:r w:rsidR="00D40611" w:rsidRPr="003D7B2A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i komunalnej </w:t>
      </w:r>
      <w:r w:rsidR="003D7B2A">
        <w:rPr>
          <w:rStyle w:val="markedcontent"/>
          <w:rFonts w:ascii="Verdana" w:hAnsi="Verdana" w:cs="Calibri"/>
          <w:sz w:val="20"/>
          <w:szCs w:val="20"/>
        </w:rPr>
        <w:br/>
      </w:r>
      <w:r w:rsidR="00E0145C" w:rsidRPr="003D7B2A">
        <w:rPr>
          <w:rStyle w:val="markedcontent"/>
          <w:rFonts w:ascii="Verdana" w:hAnsi="Verdana" w:cs="Calibri"/>
          <w:sz w:val="20"/>
          <w:szCs w:val="20"/>
        </w:rPr>
        <w:t xml:space="preserve">w latach następnych. </w:t>
      </w:r>
    </w:p>
    <w:p w:rsidR="00556A87" w:rsidRPr="003D7B2A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3D7B2A">
        <w:rPr>
          <w:rFonts w:ascii="Verdana" w:hAnsi="Verdana" w:cs="TimesNewRomanPSMT"/>
          <w:sz w:val="20"/>
          <w:szCs w:val="20"/>
        </w:rPr>
        <w:t>Wydatki majątkowe zaplanowano na przedsięwzięcia przewidziane w załączniku nr 2 do uchwały</w:t>
      </w:r>
      <w:r w:rsidR="000B7FEB" w:rsidRPr="003D7B2A">
        <w:rPr>
          <w:rFonts w:ascii="Verdana" w:hAnsi="Verdana" w:cs="TimesNewRomanPSMT"/>
          <w:sz w:val="20"/>
          <w:szCs w:val="20"/>
        </w:rPr>
        <w:t xml:space="preserve"> </w:t>
      </w:r>
      <w:r w:rsidRPr="003D7B2A">
        <w:rPr>
          <w:rFonts w:ascii="Verdana" w:hAnsi="Verdana" w:cs="TimesNewRomanPSMT"/>
          <w:sz w:val="20"/>
          <w:szCs w:val="20"/>
        </w:rPr>
        <w:t>w sprawie wieloletniej prognozy finansowej. W pozostałym zakresie przewiduje się realizację</w:t>
      </w:r>
      <w:r w:rsidR="000B7FEB" w:rsidRPr="003D7B2A">
        <w:rPr>
          <w:rFonts w:ascii="Verdana" w:hAnsi="Verdana" w:cs="TimesNewRomanPSMT"/>
          <w:sz w:val="20"/>
          <w:szCs w:val="20"/>
        </w:rPr>
        <w:t xml:space="preserve"> </w:t>
      </w:r>
      <w:r w:rsidRPr="003D7B2A">
        <w:rPr>
          <w:rFonts w:ascii="Verdana" w:hAnsi="Verdana" w:cs="TimesNewRomanPSMT"/>
          <w:sz w:val="20"/>
          <w:szCs w:val="20"/>
        </w:rPr>
        <w:t>inwestycji rocznych.</w:t>
      </w:r>
    </w:p>
    <w:p w:rsidR="00B0427B" w:rsidRPr="000B7FEB" w:rsidRDefault="00B0427B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D61152" w:rsidRPr="00D61152" w:rsidRDefault="008C5743" w:rsidP="008C574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  <w:r w:rsidRPr="00EB1D4F">
        <w:rPr>
          <w:rFonts w:ascii="Verdana" w:hAnsi="Verdana" w:cs="TimesNewRomanPSMT"/>
          <w:b/>
          <w:sz w:val="20"/>
          <w:szCs w:val="20"/>
        </w:rPr>
        <w:t>III.</w:t>
      </w:r>
      <w:r w:rsidR="00D61152">
        <w:rPr>
          <w:rFonts w:ascii="Verdana" w:hAnsi="Verdana" w:cs="TimesNewRomanPSMT"/>
          <w:b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-BoldMT"/>
          <w:b/>
          <w:bCs/>
          <w:sz w:val="20"/>
          <w:szCs w:val="20"/>
        </w:rPr>
        <w:t>Kwota długu, sposób jego finansowania</w:t>
      </w:r>
      <w:r w:rsidR="00D61152">
        <w:rPr>
          <w:rFonts w:ascii="Verdana" w:hAnsi="Verdana" w:cs="TimesNewRomanPS-BoldMT"/>
          <w:b/>
          <w:bCs/>
          <w:sz w:val="20"/>
          <w:szCs w:val="20"/>
        </w:rPr>
        <w:t xml:space="preserve"> i relacja</w:t>
      </w:r>
      <w:r>
        <w:rPr>
          <w:rFonts w:ascii="Verdana" w:hAnsi="Verdana" w:cs="TimesNewRomanPS-BoldMT"/>
          <w:b/>
          <w:bCs/>
          <w:sz w:val="20"/>
          <w:szCs w:val="20"/>
        </w:rPr>
        <w:t>,</w:t>
      </w:r>
      <w:r w:rsidR="00D61152">
        <w:rPr>
          <w:rFonts w:ascii="Verdana" w:hAnsi="Verdana" w:cs="TimesNewRomanPS-BoldMT"/>
          <w:b/>
          <w:bCs/>
          <w:sz w:val="20"/>
          <w:szCs w:val="20"/>
        </w:rPr>
        <w:t xml:space="preserve"> o której mowa w art. </w:t>
      </w:r>
      <w:r w:rsidR="00D61152" w:rsidRPr="00D61152">
        <w:rPr>
          <w:rFonts w:ascii="Verdana" w:hAnsi="Verdana" w:cs="TimesNewRomanPS-BoldMT"/>
          <w:b/>
          <w:bCs/>
          <w:sz w:val="20"/>
          <w:szCs w:val="20"/>
        </w:rPr>
        <w:t>243 ustawy o finansach</w:t>
      </w:r>
      <w:r w:rsidR="00D61152">
        <w:rPr>
          <w:rFonts w:ascii="Verdana" w:hAnsi="Verdana" w:cs="TimesNewRomanPS-BoldMT"/>
          <w:b/>
          <w:bCs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-BoldMT"/>
          <w:b/>
          <w:bCs/>
          <w:sz w:val="20"/>
          <w:szCs w:val="20"/>
        </w:rPr>
        <w:t>publicznych</w:t>
      </w:r>
    </w:p>
    <w:p w:rsidR="00512193" w:rsidRPr="00EB1D4F" w:rsidRDefault="00D61152" w:rsidP="005121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1152">
        <w:rPr>
          <w:rFonts w:ascii="Verdana" w:hAnsi="Verdana" w:cs="TimesNewRomanPSMT"/>
          <w:sz w:val="20"/>
          <w:szCs w:val="20"/>
        </w:rPr>
        <w:t>Kwota wykazana jako dług na koniec każdego roku jest wynikiem działania: dług</w:t>
      </w:r>
      <w:r w:rsidR="00270C49">
        <w:rPr>
          <w:rFonts w:ascii="Verdana" w:hAnsi="Verdana" w:cs="TimesNewRomanPSMT"/>
          <w:sz w:val="20"/>
          <w:szCs w:val="20"/>
        </w:rPr>
        <w:t xml:space="preserve"> </w:t>
      </w:r>
      <w:r w:rsidR="003D7B2A">
        <w:rPr>
          <w:rFonts w:ascii="Verdana" w:hAnsi="Verdana" w:cs="TimesNewRomanPSMT"/>
          <w:sz w:val="20"/>
          <w:szCs w:val="20"/>
        </w:rPr>
        <w:br/>
      </w:r>
      <w:r w:rsidRPr="00D61152">
        <w:rPr>
          <w:rFonts w:ascii="Verdana" w:hAnsi="Verdana" w:cs="TimesNewRomanPSMT"/>
          <w:sz w:val="20"/>
          <w:szCs w:val="20"/>
        </w:rPr>
        <w:t xml:space="preserve">z poprzedniego roku + zaciągany dług – spłata długu. </w:t>
      </w:r>
      <w:r w:rsidR="00512193" w:rsidRPr="00EB1D4F">
        <w:rPr>
          <w:rFonts w:ascii="Verdana" w:hAnsi="Verdana"/>
          <w:sz w:val="20"/>
          <w:szCs w:val="20"/>
        </w:rPr>
        <w:t>Na dzień 31.12.2024 r. kwota zadłużenia, wykazana w pozycji 6. Wieloletniej Prognozy Finansowej Miasta Szklarska Poręba na lata 2025-2031, w kolumnie pomocniczej WPF „2024 przewidywane wykonanie” wynosi 14 512 205 zł. Na koniec 2025 roku kwotę długu planuje się na poziomie 12 400 000 zł.</w:t>
      </w:r>
      <w:r w:rsidR="00B0427B" w:rsidRPr="00EB1D4F">
        <w:rPr>
          <w:rFonts w:ascii="Verdana" w:hAnsi="Verdana"/>
          <w:sz w:val="20"/>
          <w:szCs w:val="20"/>
        </w:rPr>
        <w:t xml:space="preserve"> </w:t>
      </w:r>
    </w:p>
    <w:p w:rsidR="00021E82" w:rsidRPr="00021E82" w:rsidRDefault="00736F22" w:rsidP="00021E8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color w:val="00B050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Przyjmuje się, że dług - </w:t>
      </w:r>
      <w:r w:rsidR="00D61152" w:rsidRPr="00D61152">
        <w:rPr>
          <w:rFonts w:ascii="Verdana" w:hAnsi="Verdana" w:cs="TimesNewRomanPSMT"/>
          <w:sz w:val="20"/>
          <w:szCs w:val="20"/>
        </w:rPr>
        <w:t>jego spłata</w:t>
      </w:r>
      <w:r>
        <w:rPr>
          <w:rFonts w:ascii="Verdana" w:hAnsi="Verdana" w:cs="TimesNewRomanPSMT"/>
          <w:sz w:val="20"/>
          <w:szCs w:val="20"/>
        </w:rPr>
        <w:t>,</w:t>
      </w:r>
      <w:r w:rsidR="00D61152" w:rsidRPr="00D61152">
        <w:rPr>
          <w:rFonts w:ascii="Verdana" w:hAnsi="Verdana" w:cs="TimesNewRomanPSMT"/>
          <w:sz w:val="20"/>
          <w:szCs w:val="20"/>
        </w:rPr>
        <w:t xml:space="preserve"> jest finansowana w pierwszej kolejności z nadwyżki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MT"/>
          <w:sz w:val="20"/>
          <w:szCs w:val="20"/>
        </w:rPr>
        <w:t>budżetowej, wolnych środków, spłacanych pożyczek oraz nadwyżki z lat poprzednich</w:t>
      </w:r>
      <w:r w:rsidR="0045494C">
        <w:rPr>
          <w:rFonts w:ascii="Verdana" w:hAnsi="Verdana" w:cs="TimesNewRomanPSMT"/>
          <w:sz w:val="20"/>
          <w:szCs w:val="20"/>
        </w:rPr>
        <w:t xml:space="preserve"> </w:t>
      </w:r>
      <w:bookmarkStart w:id="0" w:name="_GoBack"/>
      <w:bookmarkEnd w:id="0"/>
      <w:r w:rsidR="00D61152" w:rsidRPr="00D61152">
        <w:rPr>
          <w:rFonts w:ascii="Verdana" w:hAnsi="Verdana" w:cs="TimesNewRomanPSMT"/>
          <w:sz w:val="20"/>
          <w:szCs w:val="20"/>
        </w:rPr>
        <w:t>z tym, że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MT"/>
          <w:sz w:val="20"/>
          <w:szCs w:val="20"/>
        </w:rPr>
        <w:t>w przypadku planowania pożyczek do udzielenia wielkości te przeznacza się na finansowanie długu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MT"/>
          <w:sz w:val="20"/>
          <w:szCs w:val="20"/>
        </w:rPr>
        <w:t>w wartości pomniejszonej o wielkość przewi</w:t>
      </w:r>
      <w:r w:rsidR="00855936">
        <w:rPr>
          <w:rFonts w:ascii="Verdana" w:hAnsi="Verdana" w:cs="TimesNewRomanPSMT"/>
          <w:sz w:val="20"/>
          <w:szCs w:val="20"/>
        </w:rPr>
        <w:t>dywanych do udzielenia pożyczek</w:t>
      </w:r>
      <w:r w:rsidR="00D61152" w:rsidRPr="00D61152">
        <w:rPr>
          <w:rFonts w:ascii="Verdana" w:hAnsi="Verdana" w:cs="TimesNewRomanPSMT"/>
          <w:sz w:val="20"/>
          <w:szCs w:val="20"/>
        </w:rPr>
        <w:t>.</w:t>
      </w:r>
      <w:r w:rsidR="00021E82" w:rsidRPr="00021E82">
        <w:rPr>
          <w:rFonts w:ascii="Verdana" w:hAnsi="Verdana" w:cs="TimesNewRomanPSMT"/>
          <w:color w:val="00B050"/>
          <w:sz w:val="20"/>
          <w:szCs w:val="20"/>
        </w:rPr>
        <w:t xml:space="preserve"> </w:t>
      </w:r>
      <w:r w:rsidR="00021E82" w:rsidRPr="00EB1D4F">
        <w:rPr>
          <w:rFonts w:ascii="Verdana" w:hAnsi="Verdana" w:cs="TimesNewRomanPSMT"/>
          <w:sz w:val="20"/>
          <w:szCs w:val="20"/>
        </w:rPr>
        <w:t xml:space="preserve">W 2025 roku została zaplanowana nadwyżka budżetu w wysokości 612 205 zł, </w:t>
      </w:r>
      <w:r w:rsidR="00021E82" w:rsidRPr="00EB1D4F">
        <w:rPr>
          <w:rFonts w:ascii="Verdana" w:hAnsi="Verdana" w:cs="TimesNewRomanPSMT"/>
          <w:sz w:val="20"/>
          <w:szCs w:val="20"/>
        </w:rPr>
        <w:lastRenderedPageBreak/>
        <w:t xml:space="preserve">która zostanie przeznaczona na spłatę kredytów, pożyczek i wykup papierów wartościowych. Planowany wynik kolejnych lat również zakłada nadwyżkę budżetową </w:t>
      </w:r>
      <w:r w:rsidR="00021E82" w:rsidRPr="00EB1D4F">
        <w:rPr>
          <w:rFonts w:ascii="Verdana" w:hAnsi="Verdana" w:cs="TimesNewRomanPSMT"/>
          <w:sz w:val="20"/>
          <w:szCs w:val="20"/>
        </w:rPr>
        <w:br/>
        <w:t>z tożsamym przeznaczeniem jak w roku 2025.</w:t>
      </w:r>
    </w:p>
    <w:p w:rsidR="00D61152" w:rsidRPr="00D61152" w:rsidRDefault="00D61152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D61152">
        <w:rPr>
          <w:rFonts w:ascii="Verdana" w:hAnsi="Verdana" w:cs="TimesNewRomanPSMT"/>
          <w:sz w:val="20"/>
          <w:szCs w:val="20"/>
        </w:rPr>
        <w:t xml:space="preserve">Przy uchwalaniu budżetu jednostki </w:t>
      </w:r>
      <w:r w:rsidR="00C950B6">
        <w:rPr>
          <w:rFonts w:ascii="Verdana" w:hAnsi="Verdana" w:cs="TimesNewRomanPSMT"/>
          <w:sz w:val="20"/>
          <w:szCs w:val="20"/>
        </w:rPr>
        <w:t>samorządu terytorialnego na 202</w:t>
      </w:r>
      <w:r w:rsidR="00471867">
        <w:rPr>
          <w:rFonts w:ascii="Verdana" w:hAnsi="Verdana" w:cs="TimesNewRomanPSMT"/>
          <w:sz w:val="20"/>
          <w:szCs w:val="20"/>
        </w:rPr>
        <w:t>5</w:t>
      </w:r>
      <w:r w:rsidRPr="00D61152">
        <w:rPr>
          <w:rFonts w:ascii="Verdana" w:hAnsi="Verdana" w:cs="TimesNewRomanPSMT"/>
          <w:sz w:val="20"/>
          <w:szCs w:val="20"/>
        </w:rPr>
        <w:t xml:space="preserve"> rok, mają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Pr="00D61152">
        <w:rPr>
          <w:rFonts w:ascii="Verdana" w:hAnsi="Verdana" w:cs="TimesNewRomanPSMT"/>
          <w:sz w:val="20"/>
          <w:szCs w:val="20"/>
        </w:rPr>
        <w:t>zastosowanie przepisy art. 243 ustawy o fi</w:t>
      </w:r>
      <w:r w:rsidR="003F1126">
        <w:rPr>
          <w:rFonts w:ascii="Verdana" w:hAnsi="Verdana" w:cs="TimesNewRomanPSMT"/>
          <w:sz w:val="20"/>
          <w:szCs w:val="20"/>
        </w:rPr>
        <w:t>nansa</w:t>
      </w:r>
      <w:r w:rsidR="00471867">
        <w:rPr>
          <w:rFonts w:ascii="Verdana" w:hAnsi="Verdana" w:cs="TimesNewRomanPSMT"/>
          <w:sz w:val="20"/>
          <w:szCs w:val="20"/>
        </w:rPr>
        <w:t>ch publicznych. W roku 2025</w:t>
      </w:r>
      <w:r w:rsidRPr="00D61152">
        <w:rPr>
          <w:rFonts w:ascii="Verdana" w:hAnsi="Verdana" w:cs="TimesNewRomanPSMT"/>
          <w:sz w:val="20"/>
          <w:szCs w:val="20"/>
        </w:rPr>
        <w:t xml:space="preserve"> jak również</w:t>
      </w:r>
    </w:p>
    <w:p w:rsidR="00D61152" w:rsidRDefault="00D61152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D61152">
        <w:rPr>
          <w:rFonts w:ascii="Verdana" w:hAnsi="Verdana" w:cs="TimesNewRomanPSMT"/>
          <w:sz w:val="20"/>
          <w:szCs w:val="20"/>
        </w:rPr>
        <w:t>w pozostałych latach objętych prognozą uw</w:t>
      </w:r>
      <w:r w:rsidR="0050134E">
        <w:rPr>
          <w:rFonts w:ascii="Verdana" w:hAnsi="Verdana" w:cs="TimesNewRomanPSMT"/>
          <w:sz w:val="20"/>
          <w:szCs w:val="20"/>
        </w:rPr>
        <w:t>zględniając ustawowe wyłączenia</w:t>
      </w:r>
      <w:r w:rsidRPr="00D61152">
        <w:rPr>
          <w:rFonts w:ascii="Verdana" w:hAnsi="Verdana" w:cs="TimesNewRomanPSMT"/>
          <w:sz w:val="20"/>
          <w:szCs w:val="20"/>
        </w:rPr>
        <w:t xml:space="preserve"> wskaźniki zostały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Pr="00D61152">
        <w:rPr>
          <w:rFonts w:ascii="Verdana" w:hAnsi="Verdana" w:cs="TimesNewRomanPSMT"/>
          <w:sz w:val="20"/>
          <w:szCs w:val="20"/>
        </w:rPr>
        <w:t>spełnione.</w:t>
      </w:r>
    </w:p>
    <w:p w:rsidR="003F1126" w:rsidRDefault="003F1126" w:rsidP="000A65A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tym etapie prognozowania nie przewiduje się zaciągania kolejnych kredytów </w:t>
      </w:r>
      <w:r w:rsidR="00EB1D4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pożyczek.</w:t>
      </w:r>
    </w:p>
    <w:p w:rsidR="00C17E4B" w:rsidRDefault="00C17E4B" w:rsidP="000A65A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813F4" w:rsidRPr="003813F4" w:rsidRDefault="003813F4" w:rsidP="000A65AA">
      <w:pPr>
        <w:spacing w:line="360" w:lineRule="auto"/>
        <w:jc w:val="both"/>
        <w:rPr>
          <w:rFonts w:ascii="Verdana" w:hAnsi="Verdana"/>
          <w:color w:val="FF0000"/>
          <w:sz w:val="20"/>
          <w:szCs w:val="20"/>
        </w:rPr>
      </w:pPr>
    </w:p>
    <w:sectPr w:rsidR="003813F4" w:rsidRPr="003813F4" w:rsidSect="00945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55" w:rsidRDefault="00D42F55">
      <w:r>
        <w:separator/>
      </w:r>
    </w:p>
  </w:endnote>
  <w:endnote w:type="continuationSeparator" w:id="0">
    <w:p w:rsidR="00D42F55" w:rsidRDefault="00D4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8B" w:rsidRDefault="00D76C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8B" w:rsidRDefault="00D76C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8B" w:rsidRDefault="00D76C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55" w:rsidRDefault="00D42F55">
      <w:r>
        <w:separator/>
      </w:r>
    </w:p>
  </w:footnote>
  <w:footnote w:type="continuationSeparator" w:id="0">
    <w:p w:rsidR="00D42F55" w:rsidRDefault="00D4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8B" w:rsidRDefault="00D76C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8B" w:rsidRDefault="00D76C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8B" w:rsidRDefault="00D76C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8A84691"/>
    <w:multiLevelType w:val="hybridMultilevel"/>
    <w:tmpl w:val="190AD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26FE"/>
    <w:multiLevelType w:val="hybridMultilevel"/>
    <w:tmpl w:val="35C41BE6"/>
    <w:lvl w:ilvl="0" w:tplc="0415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54E5EF6"/>
    <w:multiLevelType w:val="hybridMultilevel"/>
    <w:tmpl w:val="41C80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1EEC"/>
    <w:multiLevelType w:val="hybridMultilevel"/>
    <w:tmpl w:val="06C069B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17E6"/>
    <w:multiLevelType w:val="hybridMultilevel"/>
    <w:tmpl w:val="5DA4B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E49AA"/>
    <w:multiLevelType w:val="hybridMultilevel"/>
    <w:tmpl w:val="63FAE094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74813EA"/>
    <w:multiLevelType w:val="hybridMultilevel"/>
    <w:tmpl w:val="E3AE1A90"/>
    <w:lvl w:ilvl="0" w:tplc="3E5CAC20">
      <w:start w:val="1"/>
      <w:numFmt w:val="upperRoman"/>
      <w:lvlText w:val="%1."/>
      <w:lvlJc w:val="left"/>
      <w:pPr>
        <w:ind w:left="1080" w:hanging="720"/>
      </w:pPr>
      <w:rPr>
        <w:rFonts w:eastAsia="Georgia"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80B76"/>
    <w:multiLevelType w:val="hybridMultilevel"/>
    <w:tmpl w:val="012E8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C850A3"/>
    <w:multiLevelType w:val="hybridMultilevel"/>
    <w:tmpl w:val="ACCC9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B26"/>
    <w:multiLevelType w:val="hybridMultilevel"/>
    <w:tmpl w:val="015A53CA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6747DC"/>
    <w:multiLevelType w:val="hybridMultilevel"/>
    <w:tmpl w:val="B6402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F5626"/>
    <w:multiLevelType w:val="hybridMultilevel"/>
    <w:tmpl w:val="F8A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883FC3"/>
    <w:multiLevelType w:val="hybridMultilevel"/>
    <w:tmpl w:val="02AE35D0"/>
    <w:lvl w:ilvl="0" w:tplc="3AA43274">
      <w:numFmt w:val="bullet"/>
      <w:lvlText w:val=""/>
      <w:lvlJc w:val="left"/>
      <w:pPr>
        <w:ind w:left="720" w:hanging="360"/>
      </w:pPr>
      <w:rPr>
        <w:rFonts w:ascii="Symbol" w:eastAsia="Calibri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332A"/>
    <w:multiLevelType w:val="hybridMultilevel"/>
    <w:tmpl w:val="5D66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01111"/>
    <w:multiLevelType w:val="hybridMultilevel"/>
    <w:tmpl w:val="EED28F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9E4FC7"/>
    <w:multiLevelType w:val="hybridMultilevel"/>
    <w:tmpl w:val="AA028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4426"/>
    <w:multiLevelType w:val="hybridMultilevel"/>
    <w:tmpl w:val="67E64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2"/>
    <w:lvlOverride w:ilvl="0"/>
  </w:num>
  <w:num w:numId="7">
    <w:abstractNumId w:val="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7"/>
  </w:num>
  <w:num w:numId="12">
    <w:abstractNumId w:val="3"/>
  </w:num>
  <w:num w:numId="13">
    <w:abstractNumId w:val="7"/>
  </w:num>
  <w:num w:numId="14">
    <w:abstractNumId w:val="19"/>
  </w:num>
  <w:num w:numId="15">
    <w:abstractNumId w:val="5"/>
  </w:num>
  <w:num w:numId="16">
    <w:abstractNumId w:val="14"/>
  </w:num>
  <w:num w:numId="17">
    <w:abstractNumId w:val="16"/>
  </w:num>
  <w:num w:numId="18">
    <w:abstractNumId w:val="9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10"/>
  </w:num>
  <w:num w:numId="22">
    <w:abstractNumId w:val="20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3"/>
    <w:rsid w:val="000022FB"/>
    <w:rsid w:val="000046CC"/>
    <w:rsid w:val="00007FDC"/>
    <w:rsid w:val="000171D4"/>
    <w:rsid w:val="00021E82"/>
    <w:rsid w:val="000255D3"/>
    <w:rsid w:val="00026E5D"/>
    <w:rsid w:val="00033A48"/>
    <w:rsid w:val="00033C16"/>
    <w:rsid w:val="00034604"/>
    <w:rsid w:val="00035D81"/>
    <w:rsid w:val="000417C5"/>
    <w:rsid w:val="00044F94"/>
    <w:rsid w:val="00053170"/>
    <w:rsid w:val="00055208"/>
    <w:rsid w:val="00060A19"/>
    <w:rsid w:val="000616B6"/>
    <w:rsid w:val="00063059"/>
    <w:rsid w:val="00063194"/>
    <w:rsid w:val="0006445A"/>
    <w:rsid w:val="0006784D"/>
    <w:rsid w:val="00070CFB"/>
    <w:rsid w:val="00076F4F"/>
    <w:rsid w:val="00077244"/>
    <w:rsid w:val="0008473E"/>
    <w:rsid w:val="00093D18"/>
    <w:rsid w:val="000A271E"/>
    <w:rsid w:val="000A65AA"/>
    <w:rsid w:val="000B16D5"/>
    <w:rsid w:val="000B4496"/>
    <w:rsid w:val="000B7FEB"/>
    <w:rsid w:val="000C7C59"/>
    <w:rsid w:val="000D1BB3"/>
    <w:rsid w:val="000D3360"/>
    <w:rsid w:val="000D3B9D"/>
    <w:rsid w:val="000D44A7"/>
    <w:rsid w:val="000D5024"/>
    <w:rsid w:val="000E1A59"/>
    <w:rsid w:val="00102BDC"/>
    <w:rsid w:val="001047C7"/>
    <w:rsid w:val="00117986"/>
    <w:rsid w:val="001241FD"/>
    <w:rsid w:val="00124770"/>
    <w:rsid w:val="001278A4"/>
    <w:rsid w:val="00130F75"/>
    <w:rsid w:val="00132F14"/>
    <w:rsid w:val="00142A7B"/>
    <w:rsid w:val="001440CA"/>
    <w:rsid w:val="00157FEA"/>
    <w:rsid w:val="0016797C"/>
    <w:rsid w:val="001779B9"/>
    <w:rsid w:val="0018506F"/>
    <w:rsid w:val="00186FC7"/>
    <w:rsid w:val="00190286"/>
    <w:rsid w:val="00190A35"/>
    <w:rsid w:val="0019340E"/>
    <w:rsid w:val="00194915"/>
    <w:rsid w:val="00194A78"/>
    <w:rsid w:val="00197906"/>
    <w:rsid w:val="001A474A"/>
    <w:rsid w:val="001A4A8D"/>
    <w:rsid w:val="001B026D"/>
    <w:rsid w:val="001B047D"/>
    <w:rsid w:val="001B0A62"/>
    <w:rsid w:val="001C5692"/>
    <w:rsid w:val="001D0DF8"/>
    <w:rsid w:val="001D1F68"/>
    <w:rsid w:val="001D402E"/>
    <w:rsid w:val="001D635A"/>
    <w:rsid w:val="001D7250"/>
    <w:rsid w:val="001F1328"/>
    <w:rsid w:val="001F1D83"/>
    <w:rsid w:val="001F3E8D"/>
    <w:rsid w:val="002009B4"/>
    <w:rsid w:val="002021A4"/>
    <w:rsid w:val="00204DB3"/>
    <w:rsid w:val="00205B5E"/>
    <w:rsid w:val="00210E5F"/>
    <w:rsid w:val="00214040"/>
    <w:rsid w:val="002267DC"/>
    <w:rsid w:val="00227824"/>
    <w:rsid w:val="002307BB"/>
    <w:rsid w:val="00234FEA"/>
    <w:rsid w:val="00235B6B"/>
    <w:rsid w:val="00242EA4"/>
    <w:rsid w:val="00245441"/>
    <w:rsid w:val="002507E2"/>
    <w:rsid w:val="00262E98"/>
    <w:rsid w:val="0026314F"/>
    <w:rsid w:val="002657A0"/>
    <w:rsid w:val="00270C49"/>
    <w:rsid w:val="00270F09"/>
    <w:rsid w:val="002767C5"/>
    <w:rsid w:val="0028314D"/>
    <w:rsid w:val="0029025C"/>
    <w:rsid w:val="0029083E"/>
    <w:rsid w:val="00290CDC"/>
    <w:rsid w:val="00294114"/>
    <w:rsid w:val="00294FA0"/>
    <w:rsid w:val="002A1DF6"/>
    <w:rsid w:val="002A22F3"/>
    <w:rsid w:val="002A2AD8"/>
    <w:rsid w:val="002A518D"/>
    <w:rsid w:val="002B1665"/>
    <w:rsid w:val="002B246C"/>
    <w:rsid w:val="002B62EF"/>
    <w:rsid w:val="002B738E"/>
    <w:rsid w:val="002B7878"/>
    <w:rsid w:val="002D44C3"/>
    <w:rsid w:val="002E3132"/>
    <w:rsid w:val="002E5ED4"/>
    <w:rsid w:val="002F3CDE"/>
    <w:rsid w:val="002F4F96"/>
    <w:rsid w:val="002F73FB"/>
    <w:rsid w:val="00300884"/>
    <w:rsid w:val="0030587C"/>
    <w:rsid w:val="00311F1A"/>
    <w:rsid w:val="003124E1"/>
    <w:rsid w:val="00314026"/>
    <w:rsid w:val="003151B2"/>
    <w:rsid w:val="00321083"/>
    <w:rsid w:val="00340111"/>
    <w:rsid w:val="003454DB"/>
    <w:rsid w:val="003525BF"/>
    <w:rsid w:val="00355DE8"/>
    <w:rsid w:val="0036209C"/>
    <w:rsid w:val="00363E9A"/>
    <w:rsid w:val="0036415F"/>
    <w:rsid w:val="003666CF"/>
    <w:rsid w:val="003763F9"/>
    <w:rsid w:val="00377BEB"/>
    <w:rsid w:val="003813F4"/>
    <w:rsid w:val="003856D3"/>
    <w:rsid w:val="00386812"/>
    <w:rsid w:val="00395781"/>
    <w:rsid w:val="003A0C26"/>
    <w:rsid w:val="003A1CF4"/>
    <w:rsid w:val="003A400E"/>
    <w:rsid w:val="003A49E5"/>
    <w:rsid w:val="003B342D"/>
    <w:rsid w:val="003C0228"/>
    <w:rsid w:val="003C398C"/>
    <w:rsid w:val="003C5D41"/>
    <w:rsid w:val="003C659B"/>
    <w:rsid w:val="003C6A7B"/>
    <w:rsid w:val="003C7C2B"/>
    <w:rsid w:val="003D036F"/>
    <w:rsid w:val="003D1EE1"/>
    <w:rsid w:val="003D7B2A"/>
    <w:rsid w:val="003E2391"/>
    <w:rsid w:val="003E3334"/>
    <w:rsid w:val="003E40A8"/>
    <w:rsid w:val="003E4BAA"/>
    <w:rsid w:val="003E6C4A"/>
    <w:rsid w:val="003F1126"/>
    <w:rsid w:val="003F1844"/>
    <w:rsid w:val="003F1B62"/>
    <w:rsid w:val="003F5A32"/>
    <w:rsid w:val="003F7C8F"/>
    <w:rsid w:val="003F7C94"/>
    <w:rsid w:val="00402692"/>
    <w:rsid w:val="004027F7"/>
    <w:rsid w:val="00403632"/>
    <w:rsid w:val="00403718"/>
    <w:rsid w:val="00404830"/>
    <w:rsid w:val="004123C5"/>
    <w:rsid w:val="00413DDD"/>
    <w:rsid w:val="00421E8B"/>
    <w:rsid w:val="00426758"/>
    <w:rsid w:val="0043082A"/>
    <w:rsid w:val="00435D8F"/>
    <w:rsid w:val="0044116B"/>
    <w:rsid w:val="004440FF"/>
    <w:rsid w:val="00444F5E"/>
    <w:rsid w:val="0045110A"/>
    <w:rsid w:val="0045335A"/>
    <w:rsid w:val="00453AF3"/>
    <w:rsid w:val="0045494C"/>
    <w:rsid w:val="00462EF8"/>
    <w:rsid w:val="004636BA"/>
    <w:rsid w:val="004655E6"/>
    <w:rsid w:val="00471867"/>
    <w:rsid w:val="00473DC2"/>
    <w:rsid w:val="00477467"/>
    <w:rsid w:val="00481030"/>
    <w:rsid w:val="00482488"/>
    <w:rsid w:val="0048409F"/>
    <w:rsid w:val="004946F5"/>
    <w:rsid w:val="00496FAC"/>
    <w:rsid w:val="004B2B0B"/>
    <w:rsid w:val="004B7676"/>
    <w:rsid w:val="004B79F0"/>
    <w:rsid w:val="004C4CE7"/>
    <w:rsid w:val="004C6715"/>
    <w:rsid w:val="004D0404"/>
    <w:rsid w:val="004D515B"/>
    <w:rsid w:val="004E0037"/>
    <w:rsid w:val="004E72BE"/>
    <w:rsid w:val="004F2E52"/>
    <w:rsid w:val="0050134E"/>
    <w:rsid w:val="00502080"/>
    <w:rsid w:val="0050266C"/>
    <w:rsid w:val="00504528"/>
    <w:rsid w:val="005056D3"/>
    <w:rsid w:val="00506C21"/>
    <w:rsid w:val="00512193"/>
    <w:rsid w:val="00521B08"/>
    <w:rsid w:val="005347CC"/>
    <w:rsid w:val="00540EA3"/>
    <w:rsid w:val="00556A87"/>
    <w:rsid w:val="00561FB3"/>
    <w:rsid w:val="00562D32"/>
    <w:rsid w:val="005748A4"/>
    <w:rsid w:val="00576EC2"/>
    <w:rsid w:val="005854DF"/>
    <w:rsid w:val="00586252"/>
    <w:rsid w:val="00586E81"/>
    <w:rsid w:val="005909CA"/>
    <w:rsid w:val="00594498"/>
    <w:rsid w:val="005958C4"/>
    <w:rsid w:val="00595B2C"/>
    <w:rsid w:val="00596DE6"/>
    <w:rsid w:val="005A7E9C"/>
    <w:rsid w:val="005B078D"/>
    <w:rsid w:val="005B17E2"/>
    <w:rsid w:val="005C0A44"/>
    <w:rsid w:val="005C7683"/>
    <w:rsid w:val="005D0107"/>
    <w:rsid w:val="005D317A"/>
    <w:rsid w:val="005E1656"/>
    <w:rsid w:val="005E2293"/>
    <w:rsid w:val="005E3E0B"/>
    <w:rsid w:val="005F15BA"/>
    <w:rsid w:val="00602188"/>
    <w:rsid w:val="006045BB"/>
    <w:rsid w:val="006055C3"/>
    <w:rsid w:val="00616F70"/>
    <w:rsid w:val="006230DB"/>
    <w:rsid w:val="0062312E"/>
    <w:rsid w:val="00631E58"/>
    <w:rsid w:val="00631EE6"/>
    <w:rsid w:val="00637ADF"/>
    <w:rsid w:val="00637CC7"/>
    <w:rsid w:val="00644C6F"/>
    <w:rsid w:val="00652AA3"/>
    <w:rsid w:val="00660AD4"/>
    <w:rsid w:val="00662784"/>
    <w:rsid w:val="00663998"/>
    <w:rsid w:val="006667BE"/>
    <w:rsid w:val="00673C37"/>
    <w:rsid w:val="00676896"/>
    <w:rsid w:val="00677B6C"/>
    <w:rsid w:val="006812D8"/>
    <w:rsid w:val="0069374F"/>
    <w:rsid w:val="006A20AC"/>
    <w:rsid w:val="006A44C9"/>
    <w:rsid w:val="006A4A45"/>
    <w:rsid w:val="006A76D0"/>
    <w:rsid w:val="006B4AB7"/>
    <w:rsid w:val="006C2755"/>
    <w:rsid w:val="006C51A6"/>
    <w:rsid w:val="006D1205"/>
    <w:rsid w:val="006D34D7"/>
    <w:rsid w:val="006E3F21"/>
    <w:rsid w:val="006E439C"/>
    <w:rsid w:val="006F129B"/>
    <w:rsid w:val="006F25B9"/>
    <w:rsid w:val="006F6F02"/>
    <w:rsid w:val="007019E3"/>
    <w:rsid w:val="00704615"/>
    <w:rsid w:val="00713F3A"/>
    <w:rsid w:val="007148AB"/>
    <w:rsid w:val="007157EC"/>
    <w:rsid w:val="0071593E"/>
    <w:rsid w:val="00716FA7"/>
    <w:rsid w:val="007172B6"/>
    <w:rsid w:val="00721823"/>
    <w:rsid w:val="007271DD"/>
    <w:rsid w:val="00733163"/>
    <w:rsid w:val="00736F22"/>
    <w:rsid w:val="00737644"/>
    <w:rsid w:val="007417FD"/>
    <w:rsid w:val="00742C87"/>
    <w:rsid w:val="007454E1"/>
    <w:rsid w:val="007552DB"/>
    <w:rsid w:val="007557E8"/>
    <w:rsid w:val="0075623C"/>
    <w:rsid w:val="00757D13"/>
    <w:rsid w:val="00770520"/>
    <w:rsid w:val="00771A0C"/>
    <w:rsid w:val="00781499"/>
    <w:rsid w:val="00783C6F"/>
    <w:rsid w:val="00790C7B"/>
    <w:rsid w:val="007948A3"/>
    <w:rsid w:val="007A32CE"/>
    <w:rsid w:val="007A48F0"/>
    <w:rsid w:val="007A515E"/>
    <w:rsid w:val="007B79C0"/>
    <w:rsid w:val="007C32F2"/>
    <w:rsid w:val="007C4321"/>
    <w:rsid w:val="007D217F"/>
    <w:rsid w:val="007D2B76"/>
    <w:rsid w:val="007D55C7"/>
    <w:rsid w:val="007E29DC"/>
    <w:rsid w:val="007E2E68"/>
    <w:rsid w:val="007E71EF"/>
    <w:rsid w:val="007E7A67"/>
    <w:rsid w:val="007F00C8"/>
    <w:rsid w:val="007F1081"/>
    <w:rsid w:val="007F6182"/>
    <w:rsid w:val="007F715C"/>
    <w:rsid w:val="007F7306"/>
    <w:rsid w:val="00805BD0"/>
    <w:rsid w:val="0081085B"/>
    <w:rsid w:val="008120C9"/>
    <w:rsid w:val="008173B1"/>
    <w:rsid w:val="008304F0"/>
    <w:rsid w:val="008357C5"/>
    <w:rsid w:val="0083777C"/>
    <w:rsid w:val="00850B7C"/>
    <w:rsid w:val="008535B1"/>
    <w:rsid w:val="00855936"/>
    <w:rsid w:val="0085617D"/>
    <w:rsid w:val="00857B5A"/>
    <w:rsid w:val="00860725"/>
    <w:rsid w:val="00866257"/>
    <w:rsid w:val="00876192"/>
    <w:rsid w:val="00877E2C"/>
    <w:rsid w:val="008809E1"/>
    <w:rsid w:val="00881A39"/>
    <w:rsid w:val="008826BD"/>
    <w:rsid w:val="00885643"/>
    <w:rsid w:val="0088746B"/>
    <w:rsid w:val="00894B83"/>
    <w:rsid w:val="008A2A99"/>
    <w:rsid w:val="008A55E7"/>
    <w:rsid w:val="008B5F4E"/>
    <w:rsid w:val="008C0B4A"/>
    <w:rsid w:val="008C1129"/>
    <w:rsid w:val="008C4A0D"/>
    <w:rsid w:val="008C5743"/>
    <w:rsid w:val="008D4838"/>
    <w:rsid w:val="008D4D26"/>
    <w:rsid w:val="008D6B02"/>
    <w:rsid w:val="008F057F"/>
    <w:rsid w:val="008F10EE"/>
    <w:rsid w:val="008F15B2"/>
    <w:rsid w:val="008F2518"/>
    <w:rsid w:val="008F4C42"/>
    <w:rsid w:val="008F5E97"/>
    <w:rsid w:val="008F64ED"/>
    <w:rsid w:val="00924F20"/>
    <w:rsid w:val="00927290"/>
    <w:rsid w:val="009278FE"/>
    <w:rsid w:val="009315C5"/>
    <w:rsid w:val="009323C5"/>
    <w:rsid w:val="00945184"/>
    <w:rsid w:val="00953187"/>
    <w:rsid w:val="00953832"/>
    <w:rsid w:val="00961C33"/>
    <w:rsid w:val="00970756"/>
    <w:rsid w:val="00970E5D"/>
    <w:rsid w:val="00971DDA"/>
    <w:rsid w:val="00986C17"/>
    <w:rsid w:val="00991963"/>
    <w:rsid w:val="00994024"/>
    <w:rsid w:val="00994693"/>
    <w:rsid w:val="009A7F90"/>
    <w:rsid w:val="009D1F0F"/>
    <w:rsid w:val="009D2E67"/>
    <w:rsid w:val="009D6280"/>
    <w:rsid w:val="009D6C61"/>
    <w:rsid w:val="009E5213"/>
    <w:rsid w:val="009F5904"/>
    <w:rsid w:val="00A04C88"/>
    <w:rsid w:val="00A05312"/>
    <w:rsid w:val="00A12705"/>
    <w:rsid w:val="00A15045"/>
    <w:rsid w:val="00A2748C"/>
    <w:rsid w:val="00A3330C"/>
    <w:rsid w:val="00A37706"/>
    <w:rsid w:val="00A45D28"/>
    <w:rsid w:val="00A501D5"/>
    <w:rsid w:val="00A523F9"/>
    <w:rsid w:val="00A553AF"/>
    <w:rsid w:val="00A618FF"/>
    <w:rsid w:val="00A61904"/>
    <w:rsid w:val="00A62452"/>
    <w:rsid w:val="00A64F91"/>
    <w:rsid w:val="00A65608"/>
    <w:rsid w:val="00A758A1"/>
    <w:rsid w:val="00A766E3"/>
    <w:rsid w:val="00A768CF"/>
    <w:rsid w:val="00A768FF"/>
    <w:rsid w:val="00A769DC"/>
    <w:rsid w:val="00A80660"/>
    <w:rsid w:val="00A9057B"/>
    <w:rsid w:val="00A956D7"/>
    <w:rsid w:val="00A974D5"/>
    <w:rsid w:val="00A976AD"/>
    <w:rsid w:val="00AA149A"/>
    <w:rsid w:val="00AA2C15"/>
    <w:rsid w:val="00AB17C8"/>
    <w:rsid w:val="00AB2917"/>
    <w:rsid w:val="00AB3630"/>
    <w:rsid w:val="00AB6467"/>
    <w:rsid w:val="00AC04A8"/>
    <w:rsid w:val="00AC5983"/>
    <w:rsid w:val="00AD3C19"/>
    <w:rsid w:val="00AF3EA7"/>
    <w:rsid w:val="00AF66FC"/>
    <w:rsid w:val="00AF7AD1"/>
    <w:rsid w:val="00B01043"/>
    <w:rsid w:val="00B01A4A"/>
    <w:rsid w:val="00B02962"/>
    <w:rsid w:val="00B0427B"/>
    <w:rsid w:val="00B04D06"/>
    <w:rsid w:val="00B07624"/>
    <w:rsid w:val="00B15948"/>
    <w:rsid w:val="00B167F3"/>
    <w:rsid w:val="00B207E5"/>
    <w:rsid w:val="00B20869"/>
    <w:rsid w:val="00B31F4F"/>
    <w:rsid w:val="00B32709"/>
    <w:rsid w:val="00B37EBB"/>
    <w:rsid w:val="00B656E3"/>
    <w:rsid w:val="00B7118E"/>
    <w:rsid w:val="00B812D7"/>
    <w:rsid w:val="00B82D70"/>
    <w:rsid w:val="00B854CF"/>
    <w:rsid w:val="00B87ADA"/>
    <w:rsid w:val="00B94564"/>
    <w:rsid w:val="00B97555"/>
    <w:rsid w:val="00BA4C34"/>
    <w:rsid w:val="00BA5A78"/>
    <w:rsid w:val="00BA5A82"/>
    <w:rsid w:val="00BA66EC"/>
    <w:rsid w:val="00BB4886"/>
    <w:rsid w:val="00BB6335"/>
    <w:rsid w:val="00BC5129"/>
    <w:rsid w:val="00BC774C"/>
    <w:rsid w:val="00BD2E6D"/>
    <w:rsid w:val="00BD5FFE"/>
    <w:rsid w:val="00BE386A"/>
    <w:rsid w:val="00BE3DC5"/>
    <w:rsid w:val="00BF0D0C"/>
    <w:rsid w:val="00BF1268"/>
    <w:rsid w:val="00BF55CC"/>
    <w:rsid w:val="00BF7799"/>
    <w:rsid w:val="00C03687"/>
    <w:rsid w:val="00C04C27"/>
    <w:rsid w:val="00C06739"/>
    <w:rsid w:val="00C17E4B"/>
    <w:rsid w:val="00C204F0"/>
    <w:rsid w:val="00C2120F"/>
    <w:rsid w:val="00C22570"/>
    <w:rsid w:val="00C22EEE"/>
    <w:rsid w:val="00C23EED"/>
    <w:rsid w:val="00C243FB"/>
    <w:rsid w:val="00C24871"/>
    <w:rsid w:val="00C32DEE"/>
    <w:rsid w:val="00C33234"/>
    <w:rsid w:val="00C351F8"/>
    <w:rsid w:val="00C36BBC"/>
    <w:rsid w:val="00C457F4"/>
    <w:rsid w:val="00C507B0"/>
    <w:rsid w:val="00C5472E"/>
    <w:rsid w:val="00C61C52"/>
    <w:rsid w:val="00C63DBB"/>
    <w:rsid w:val="00C8170B"/>
    <w:rsid w:val="00C87E54"/>
    <w:rsid w:val="00C90038"/>
    <w:rsid w:val="00C94CB9"/>
    <w:rsid w:val="00C950B6"/>
    <w:rsid w:val="00C95449"/>
    <w:rsid w:val="00C97B98"/>
    <w:rsid w:val="00CA0C55"/>
    <w:rsid w:val="00CA6F84"/>
    <w:rsid w:val="00CB2844"/>
    <w:rsid w:val="00CB2F75"/>
    <w:rsid w:val="00CC1D40"/>
    <w:rsid w:val="00CD096C"/>
    <w:rsid w:val="00CD117C"/>
    <w:rsid w:val="00CD5F1E"/>
    <w:rsid w:val="00CE4489"/>
    <w:rsid w:val="00CE5FCE"/>
    <w:rsid w:val="00CF2D2A"/>
    <w:rsid w:val="00CF5696"/>
    <w:rsid w:val="00CF6946"/>
    <w:rsid w:val="00D03FF6"/>
    <w:rsid w:val="00D12029"/>
    <w:rsid w:val="00D13F87"/>
    <w:rsid w:val="00D2086B"/>
    <w:rsid w:val="00D23F5D"/>
    <w:rsid w:val="00D259D1"/>
    <w:rsid w:val="00D278EC"/>
    <w:rsid w:val="00D34825"/>
    <w:rsid w:val="00D379F0"/>
    <w:rsid w:val="00D40611"/>
    <w:rsid w:val="00D42058"/>
    <w:rsid w:val="00D42849"/>
    <w:rsid w:val="00D428EC"/>
    <w:rsid w:val="00D42F55"/>
    <w:rsid w:val="00D45CF5"/>
    <w:rsid w:val="00D544F8"/>
    <w:rsid w:val="00D61152"/>
    <w:rsid w:val="00D61449"/>
    <w:rsid w:val="00D744AF"/>
    <w:rsid w:val="00D74D21"/>
    <w:rsid w:val="00D76C8B"/>
    <w:rsid w:val="00D80BA4"/>
    <w:rsid w:val="00D84CCC"/>
    <w:rsid w:val="00D856A0"/>
    <w:rsid w:val="00D91CCA"/>
    <w:rsid w:val="00D9459A"/>
    <w:rsid w:val="00D97CD9"/>
    <w:rsid w:val="00DA08EB"/>
    <w:rsid w:val="00DA113E"/>
    <w:rsid w:val="00DA317D"/>
    <w:rsid w:val="00DA4C97"/>
    <w:rsid w:val="00DB2A06"/>
    <w:rsid w:val="00DC0958"/>
    <w:rsid w:val="00DC332A"/>
    <w:rsid w:val="00DC5EB1"/>
    <w:rsid w:val="00DC6A3C"/>
    <w:rsid w:val="00DD3262"/>
    <w:rsid w:val="00DD3EE8"/>
    <w:rsid w:val="00DD4763"/>
    <w:rsid w:val="00DD4FA0"/>
    <w:rsid w:val="00DE0DF3"/>
    <w:rsid w:val="00DE5010"/>
    <w:rsid w:val="00DE6C2F"/>
    <w:rsid w:val="00DF008F"/>
    <w:rsid w:val="00DF314A"/>
    <w:rsid w:val="00DF58BB"/>
    <w:rsid w:val="00DF5D5F"/>
    <w:rsid w:val="00DF754A"/>
    <w:rsid w:val="00E0061A"/>
    <w:rsid w:val="00E0128C"/>
    <w:rsid w:val="00E0145C"/>
    <w:rsid w:val="00E12FA2"/>
    <w:rsid w:val="00E1323E"/>
    <w:rsid w:val="00E133A4"/>
    <w:rsid w:val="00E13D23"/>
    <w:rsid w:val="00E21BE1"/>
    <w:rsid w:val="00E21E23"/>
    <w:rsid w:val="00E2264B"/>
    <w:rsid w:val="00E22D44"/>
    <w:rsid w:val="00E22F08"/>
    <w:rsid w:val="00E27DC2"/>
    <w:rsid w:val="00E3091E"/>
    <w:rsid w:val="00E31079"/>
    <w:rsid w:val="00E33D12"/>
    <w:rsid w:val="00E4283B"/>
    <w:rsid w:val="00E4508E"/>
    <w:rsid w:val="00E468AC"/>
    <w:rsid w:val="00E53AC8"/>
    <w:rsid w:val="00E75464"/>
    <w:rsid w:val="00E7767A"/>
    <w:rsid w:val="00E80D40"/>
    <w:rsid w:val="00E80F74"/>
    <w:rsid w:val="00E851EB"/>
    <w:rsid w:val="00E9393D"/>
    <w:rsid w:val="00E95263"/>
    <w:rsid w:val="00E96709"/>
    <w:rsid w:val="00E970A3"/>
    <w:rsid w:val="00EA3C1C"/>
    <w:rsid w:val="00EB12D7"/>
    <w:rsid w:val="00EB1D4F"/>
    <w:rsid w:val="00EC0428"/>
    <w:rsid w:val="00ED03CD"/>
    <w:rsid w:val="00ED4C40"/>
    <w:rsid w:val="00EE638F"/>
    <w:rsid w:val="00EF45A7"/>
    <w:rsid w:val="00EF570B"/>
    <w:rsid w:val="00F0229D"/>
    <w:rsid w:val="00F064CC"/>
    <w:rsid w:val="00F124EE"/>
    <w:rsid w:val="00F125B7"/>
    <w:rsid w:val="00F135FA"/>
    <w:rsid w:val="00F14A49"/>
    <w:rsid w:val="00F20CF4"/>
    <w:rsid w:val="00F21039"/>
    <w:rsid w:val="00F3351A"/>
    <w:rsid w:val="00F57C28"/>
    <w:rsid w:val="00F60308"/>
    <w:rsid w:val="00F63F28"/>
    <w:rsid w:val="00F72F80"/>
    <w:rsid w:val="00F73FFC"/>
    <w:rsid w:val="00F759FA"/>
    <w:rsid w:val="00F7601E"/>
    <w:rsid w:val="00F76E36"/>
    <w:rsid w:val="00F8234A"/>
    <w:rsid w:val="00F85400"/>
    <w:rsid w:val="00F90E06"/>
    <w:rsid w:val="00F915FE"/>
    <w:rsid w:val="00F91BE9"/>
    <w:rsid w:val="00FA13C6"/>
    <w:rsid w:val="00FA6346"/>
    <w:rsid w:val="00FB1330"/>
    <w:rsid w:val="00FB7260"/>
    <w:rsid w:val="00FB7CEA"/>
    <w:rsid w:val="00FC37EA"/>
    <w:rsid w:val="00FC3A58"/>
    <w:rsid w:val="00FC6344"/>
    <w:rsid w:val="00FC793B"/>
    <w:rsid w:val="00FD2C7E"/>
    <w:rsid w:val="00FD6A11"/>
    <w:rsid w:val="00FE05A6"/>
    <w:rsid w:val="00FE0C2B"/>
    <w:rsid w:val="00FF13F4"/>
    <w:rsid w:val="00FF1518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D33C3-68F9-4859-A115-09B755B7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C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44AF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Nagwek3">
    <w:name w:val="heading 3"/>
    <w:basedOn w:val="Normalny"/>
    <w:next w:val="Normalny"/>
    <w:qFormat/>
    <w:rsid w:val="00A553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alCenterBold">
    <w:name w:val="_Zal_Center_Bold"/>
    <w:rsid w:val="007948A3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">
    <w:name w:val="_Zal_BT"/>
    <w:rsid w:val="007948A3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7948A3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Pkt1">
    <w:name w:val="_Zal_Pkt_1"/>
    <w:rsid w:val="007948A3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7948A3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customStyle="1" w:styleId="ZalBT6mm">
    <w:name w:val="_Zal_BT_6mm"/>
    <w:rsid w:val="00945184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rsid w:val="00D744AF"/>
    <w:pPr>
      <w:suppressAutoHyphens/>
      <w:spacing w:line="360" w:lineRule="auto"/>
      <w:ind w:firstLine="357"/>
      <w:jc w:val="both"/>
    </w:pPr>
    <w:rPr>
      <w:rFonts w:ascii="Verdana" w:hAnsi="Verdana"/>
      <w:sz w:val="20"/>
      <w:szCs w:val="20"/>
      <w:lang w:eastAsia="ar-SA"/>
    </w:rPr>
  </w:style>
  <w:style w:type="paragraph" w:styleId="Tekstpodstawowywcity3">
    <w:name w:val="Body Text Indent 3"/>
    <w:basedOn w:val="Normalny"/>
    <w:rsid w:val="00386812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D45CF5"/>
    <w:pPr>
      <w:spacing w:after="120"/>
    </w:pPr>
  </w:style>
  <w:style w:type="paragraph" w:customStyle="1" w:styleId="msonormalcxsppierwsze">
    <w:name w:val="msonormalcxsppierwsze"/>
    <w:basedOn w:val="Normalny"/>
    <w:rsid w:val="003763F9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3763F9"/>
    <w:pPr>
      <w:spacing w:before="100" w:beforeAutospacing="1" w:after="100" w:afterAutospacing="1"/>
    </w:pPr>
  </w:style>
  <w:style w:type="paragraph" w:customStyle="1" w:styleId="ListParagraph">
    <w:name w:val="List Paragraph"/>
    <w:basedOn w:val="Normalny"/>
    <w:rsid w:val="00210E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  <w:rsid w:val="00BD5FFE"/>
    <w:rPr>
      <w:sz w:val="20"/>
      <w:szCs w:val="20"/>
    </w:rPr>
  </w:style>
  <w:style w:type="character" w:styleId="Odwoanieprzypisukocowego">
    <w:name w:val="endnote reference"/>
    <w:semiHidden/>
    <w:rsid w:val="00BD5FFE"/>
    <w:rPr>
      <w:vertAlign w:val="superscript"/>
    </w:rPr>
  </w:style>
  <w:style w:type="paragraph" w:styleId="Tekstdymka">
    <w:name w:val="Balloon Text"/>
    <w:basedOn w:val="Normalny"/>
    <w:link w:val="TekstdymkaZnak"/>
    <w:rsid w:val="00B6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56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76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6C8B"/>
    <w:rPr>
      <w:sz w:val="24"/>
      <w:szCs w:val="24"/>
    </w:rPr>
  </w:style>
  <w:style w:type="paragraph" w:styleId="Stopka">
    <w:name w:val="footer"/>
    <w:basedOn w:val="Normalny"/>
    <w:link w:val="StopkaZnak"/>
    <w:rsid w:val="00D76C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76C8B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62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6F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E0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ABD1-C0B8-4D31-AC57-79EAF7A6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budżetowa na  2011 rok</vt:lpstr>
    </vt:vector>
  </TitlesOfParts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budżetowa na  2011 rok</dc:title>
  <dc:subject/>
  <dc:creator>ugm</dc:creator>
  <cp:keywords/>
  <dc:description/>
  <cp:lastModifiedBy>Bożena</cp:lastModifiedBy>
  <cp:revision>3</cp:revision>
  <cp:lastPrinted>2024-12-09T14:08:00Z</cp:lastPrinted>
  <dcterms:created xsi:type="dcterms:W3CDTF">2024-12-19T10:35:00Z</dcterms:created>
  <dcterms:modified xsi:type="dcterms:W3CDTF">2024-12-19T10:42:00Z</dcterms:modified>
</cp:coreProperties>
</file>